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PQ180065 vom 11. Oktober 2018</w:t>
      </w:r>
    </w:p>
    <w:p>
      <w:r>
        <w:t>ZH Obergericht, 2018-10-11, DE</w:t>
      </w:r>
    </w:p>
    <w:p>
      <w:r>
        <w:rPr>
          <w:b/>
        </w:rPr>
        <w:t xml:space="preserve">Quelle: </w:t>
      </w:r>
      <w:r>
        <w:t>https://mcp.opencaselaw.ch/entscheid/zh_obergericht_PQ180065</w:t>
      </w:r>
    </w:p>
    <w:p>
      <w:r>
        <w:t>FR: ZH_OBERGERICHT PQ180065 du 11 octobre 2018</w:t>
      </w:r>
    </w:p>
    <w:p>
      <w:r>
        <w:t>IT: ZH_OBERGERICHT PQ180065 del 11 ottobre 2018</w:t>
      </w:r>
    </w:p>
    <w:p>
      <w:pPr>
        <w:pStyle w:val="Heading2"/>
      </w:pPr>
      <w:r>
        <w:t>Erwägungen</w:t>
      </w:r>
    </w:p>
    <w:p>
      <w:r>
        <w:rPr>
          <w:b/>
        </w:rPr>
        <w:t>E. 1</w:t>
      </w:r>
    </w:p>
    <w:p>
      <w:r>
        <w:t>Mit Beschluss Nr. 5016 der Kindes- und Erwachsenschutzbehörde der Stadt Zürich (Kammer II) vom 26. August 2015 (fortan KESB) wurde für den heutigen Beschwerdeführer A._____ eine Vertretungsbeistandschaft mit Vermögensver- waltung nach Art. 394 in Verbindung mit Art. 395 ZGB angeordnet. Dies, nach- dem sich A._____ seit 2013 verschiedentlich an die KESB gewandt und um Un- terstützung in administrativen und finanziellen Belangen gebeten hatte. Die Bei- standschaft umfasste die Bereiche Wohnen und Unterkunft, Gesundheit und teil- weise die medizinische Betreuung sowie die administrativen und finanziellen Angelegenheiten. Zur Beiständin wurde B._____ ernannt (KESB-act. 34). Mit Be- schluss Nr. 6744 vom 24. November 2016 hob die KESB die Beistandschaft wie- der auf und lud die Beiständin ein, bis am 31. Januar 2017 ihren Schlussbericht mit Rechnung und Belegen einzureichen (KESB-act. 68). Bei der Inventarauf- nahme hatten sich Schwierigkeiten ergeben und es zeigte sich, dass A._____ un- realistische Vorstellungen über die Führung der Beistandschaft hatte. Sodann hat- te er seinen langjährigen Treuhänder C._____ mandatiert und die Aufhebung der Beistandschaft verlangt. Am 12. Januar 2017 erstattete die Beiständin ihren Schlussbericht (KESB-act. 69), welcher mit Verfügung Nr. 2481 der KESB vom 9. Mai 2017 zusammen mit der Rechnung genehmigt wurde (KESB-act. 70 = BR- act. 1/1).</w:t>
      </w:r>
    </w:p>
    <w:p>
      <w:r>
        <w:rPr>
          <w:b/>
        </w:rPr>
        <w:t>E. 2</w:t>
      </w:r>
    </w:p>
    <w:p>
      <w:r>
        <w:t>Am 6. Juni 2017 liess A._____ durch C._____ beim Bezirksrat "Einsprache" gegen die Verfügung vom 9. Mai 2017 erheben (BR-act. 1). Das Mietgericht Zü- rich überwies dem Bezirksrat Zürich sodann ein bei ihm eingegangenes sinnge- mässes Gesuch um Gewährung der unentgeltlichen Rechtspflege (BR-act. 4). Nach Eingang der Vernehmlassung der KESB (BR-act. 5) und einer weiteren Stellungnahme von A._____ selbst (BR-act. 8) trat der Bezirksratspräsident mit Verfügung vom 2. August 2018 auf die Beschwerde nicht ein (BR-act. 12 = act. 6). Die Verfügung wurde A._____ am 8. August 2018 zugestellt (BR-act. 14).</w:t>
      </w:r>
    </w:p>
    <w:p>
      <w:r>
        <w:t>- 3 - Am 15. August 2018 meldete sich A._____ beim Bezirksrat und bekundete sein Unverständnis mit dem ergangenen Entscheid (BR-act. 15), welches er mit einem an den Bezirksrat adressierten Schreiben vom 16. August 2018 bekräftigte (BR- act. 16). Darin macht er geltend, er halte nach Absprache mit seinen Anwälten da- für, dass die seinem Treuhänder erteilte Generalvollmacht gültig sei. Sodann be- klagt er, dass die KESB Zahlungen vorgenommen habe, welche er und sein Treuhänder untersagt hätten. Überdies habe seine Beiständin einen sehr wichti- gen Termin bei der Schlichtungsbehörde kurzfristig abgesagt und ihm, dem Be- schwerdeführer, so einen Schaden verursacht. Er bitte um Kenntnisnahme und Überweisung von CHF 2'558.-- (Kosten für den Treuhänder) ansonsten er seine Guthaben einklagen werde (BR-act. 16). Mit Schreiben vom 27. August 2018 wurde der Beschwerdeführer seitens des Bezirksrates – wie dies bereits in der angefochtenen Verfügung festgehalten worden war (act. 6) – darauf hingewiesen, dass er ein allfälliges Fehlverhalten der Beiständin nicht mittels Beschwerde ge- gen den Genehmigungsentscheid der KESB, sondern mittels Verantwortlichkeits- klage gemäss Art. 454 f. ZGB geltend machen müsse (BR-act. 17). Am 24. Sep- tember 2018 wurde dem Beschwerdeführer Gleiches nochmals mündlich be- schieden und mitgeteilt, dass seiner Bitte, in seinem Namen das Schreiben vom 16. August 2018 als Klageschrift ans Bezirksgericht Zürich weiterzuleiten, nicht stattgegeben werde (BR-act. 19).</w:t>
      </w:r>
    </w:p>
    <w:p>
      <w:r>
        <w:rPr>
          <w:b/>
        </w:rPr>
        <w:t>E. 3</w:t>
      </w:r>
    </w:p>
    <w:p>
      <w:r>
        <w:t>Mit Eingabe vom 2. Oktober 2018 (Eingang 3. Oktober 2018) reichte der Be- schwerdeführer ein mit "Verantwortlichkeitsklage" überschriebenes Schreiben beim Obergericht des Kantons Zürich ein (act. 2). Darin hält er fest, dass er den Entscheid des "Bezirkspräsidenten" in keiner Art und Weise akzeptiere, in der es um das Verhalten seiner ehemaligen Beiständin gehe. Er beanstandet erneut, die Beiständin habe trotz seinem Verbot Zahlungen geleistet und einen Termin bei der Schlichtungsbehörde kurzfristig abgesagt, so dass ihm sehr viele Unkosten entstanden seien. Er wolle sein Geld zurück und die Fehler müssten behoben werden (a.a.O.). Es wurden die Akten des Bezirksrats (act. 7/1-25) und der KESB (act. 9/1-78) beigezogen (act. 4). Das Verfahren ist spruchreif.</w:t>
      </w:r>
    </w:p>
    <w:p>
      <w:r>
        <w:t>- 4 -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