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PQ180061 vom 10. Oktober 2018</w:t>
      </w:r>
    </w:p>
    <w:p>
      <w:r>
        <w:t>ZH Obergericht, 2018-10-10, DE</w:t>
      </w:r>
    </w:p>
    <w:p>
      <w:r>
        <w:rPr>
          <w:b/>
        </w:rPr>
        <w:t xml:space="preserve">Quelle: </w:t>
      </w:r>
      <w:r>
        <w:t>https://mcp.opencaselaw.ch/entscheid/zh_obergericht_PQ180061</w:t>
      </w:r>
    </w:p>
    <w:p>
      <w:r>
        <w:t>FR: ZH_OBERGERICHT PQ180061 du 10 octobre 2018</w:t>
      </w:r>
    </w:p>
    <w:p>
      <w:r>
        <w:t>IT: ZH_OBERGERICHT PQ180061 del 10 ottobre 2018</w:t>
      </w:r>
    </w:p>
    <w:p>
      <w:pPr>
        <w:pStyle w:val="Heading2"/>
      </w:pPr>
      <w:r>
        <w:t>Erwägungen</w:t>
      </w:r>
    </w:p>
    <w:p>
      <w:r>
        <w:rPr>
          <w:b/>
        </w:rPr>
        <w:t>E. 1</w:t>
      </w:r>
    </w:p>
    <w:p>
      <w:r>
        <w:t>A._____ (Mutter und Beschwerdeführerin) und B._____ (Vater und Beschwerdegegner) sind die Eltern von C._____, geboren am tt.mm.2004. Die</w:t>
      </w:r>
    </w:p>
    <w:p>
      <w:r>
        <w:t>- 2 - Ehe der Parteien wurde mit Urteil des Einzelrichters im ordentlichen Verfahren am Bezirksgericht Meilen vom 24. Juli 2008 geschieden (KESB-act. 2/1). Die Tochter C._____ wurde unter die elterliche Sorge der Mutter gestellt. In der Vereinbarung betreffend die Scheidungsnebenfolgen sahen die Parteien vor, dass sie sich im direkten Gespräch und unter Rücksichtnahme auf die Interessen und Bedürfnisse von C._____ über die Gestaltung des persönlichen Verkehrs zwischen der Tochter und dem Vater einigen. Für den Konfliktfall wurde der Vater für berechtigt erklärt, die Tochter einen Tag unter der Woche und jedes zweite Wochenende vom Freitag- bis Sonntagabend mit sich oder zu sich auf Besuch zu nehmen. Ausserdem wurde ein Ferienbesuchsrecht von fünf Wochen pro Jahr und ein Feiertagsbesuchsrecht festgelegt.</w:t>
      </w:r>
    </w:p>
    <w:p>
      <w:r>
        <w:rPr>
          <w:b/>
        </w:rPr>
        <w:t>E. 2</w:t>
      </w:r>
    </w:p>
    <w:p>
      <w:r>
        <w:t>Nachdem nach Darstellung des Vaters das Besuchsrecht ab ca. 2010 je länger je weniger umgesetzt werden konnte, ersuchte der Vater mit Eingabe vom 24. September 2013 bei der zuständigen Kindes- und Erwachsenenschutzbehörde der Stadt Zürich (fortan KESB) um Errichtung einer Beistandschaft im Sinne von Art. 308 Abs. 2 ZGB, welche die Wiederaufnahme der Besuche gemäss Scheidungsurteils ermöglichen sollte (KESB-act. 1). Mit Beschluss vom 16. Januar 2014 bestellte die KESB gestützt auf Art. 308 Abs. 2 ZGB eine Beiständin und übertrug ihr die Aufgaben, die Wiederannäherung von Vater und Tochter zu organisieren, die Beratung und Unterstützung der Eltern, insbesondere des Vaters, durch familienbegleitende Angebote zu organisieren und nach erfolgter Wiederannäherung die Umsetzung des gerichtlich festgelegten Besuchsrechts zu überwachen (KESB-act. 26). Die anschliessenden Bemühungen, unter Beizug einer Familienbegleitung Kontakte zwischen der Tochter und dem Vater wieder herzustellen, scheiterten (vgl. KESB-act. 28). Am</w:t>
      </w:r>
    </w:p>
    <w:p>
      <w:r>
        <w:rPr>
          <w:b/>
        </w:rPr>
        <w:t>E. 7</w:t>
      </w:r>
    </w:p>
    <w:p>
      <w:r>
        <w:t>Dezember 2015 erging ein Gutachtensauftrag an den Kinder- und Jugendpsychiatrischen Dienst der Psychiatrischen Universitätsklinik Zürich (nachfolgend KJPP). Das Gutachten wurde am 15. September 2016 erstattet (KESB-act. 87). Nach Einholung der Stellungnahmen dazu, legte die KESB das Besuchsrecht mit Beschluss vom 9. März 2017 in Abänderung des Scheidungsurteils neu fest. In einer ersten Phase von drei Monaten ab Rechtskraft des Beschlusses sollten die Besuche je drei Stunden an zwei</w:t>
      </w:r>
    </w:p>
    <w:p>
      <w:r>
        <w:t>- 3 - Nachmittagen pro Monat stattfinden, die dann auf 6 Stunden ausgebaut werden sollten. Ab dem siebten Monat nach Aufnahme der Besuche sollten diese an zwei einzelnen Tagen pro Monat von 9 - 17 Uhr stattfinden. Die Beiständin wurde beauftragt, unter Berücksichtigung der Bedürfnisse von C._____ die jeweiligen Besuchs- und Telefonzeiten festzusetzen und die Eltern wurden ermahnt, alles zu unterlassen, was das Verhältnis des Kindes zum anderen Elternteil beeinträchtigt (KESB- act 104 = BR-act. 2). 3. Gegen den Entscheid der KESB erhob die Mutter am 13. April 2017 Beschwerde (BR-act. 1). Nach Eingang der Vernehmlassung der KESB vom 18. Mai 2017 (BR-act. 5) und der Beschwerdeantwort des Vaters vom 19. Mai 2017 (BR-act. 7), nahm die Mutter am 10. Juli 2017 nochmals Stellung (BR-act. 11), der Vater verzichtete am 18. Juli 2017 auf eine weitere Stellungnahme (BR-act. 13). Der nächste Prozessschritt im erstinstanzlichen Beschwerdeverfahren folgte am 25. April 2018 mit der Einforderung eines Rechenschaftsberichts der Beiständin für den Zeitraum 2016 und 2017 von der Beiständin (BR-act. 14). Dieser (BR- act. 17/2) wurde den Parteien zugestellt und es wurde alsdann am 13. Juni 2018 C._____ angehört (BR-act. 25). Nach Eingang der Stellungnahmen der Parteien (BR-act. 28 und 32) erging am 23. August 2018 der bezirksrätliche Entscheid (BR-act. 36 = act. 6). Darin wurde in teilweiser Gutheissung der Beschwerde das Besuchsrecht des Vaters auf zwei gemeinsame Essen (Morgen-, Mittag- oder Abendessen) reduziert (Dispositiv Ziff. I.1.) und die Beiständin damit beauftragt, die Absprache der Besuche zwischen C._____ und dem Vater zu unterstützen und bei Bedarf die Besuchsmodalitäten festzusetzen (Dispositiv Ziff. I.2.). Im Übrigen wies der Bezirksrat die Beschwerde ab und auferlegte die Entscheidgebühr den Parteien je zur Hälfte (act. 6 Dispositiv Ziff. II und III). Der Entscheid wurde den Parteien am 27. bzw. 28. August 2018 zugestellt (BR-act. 39). 4. Am 24. September 2018 erhob die Mutter Beschwerde gegen den Entscheid des Bezirksrates. Sie beantragt (act. 2 S. 2):</w:t>
      </w:r>
    </w:p>
    <w:p>
      <w:r>
        <w:t>- 4 - "Es seien Ziffern 1 und 2 des Urteils des Bezirksrates Zürich vom 23. August 2018 ersatzlos aufzuheben. Eventualiter sei Ziffer 2 des Urteils des Bezirksrates Zürich vom 23. August 2018 ersatzlos aufzuheben. Unter Kosten- und Entschädigungsfolgen zulasten des Beschwerdegegners (zuzüglich MwSt)." Die Akten des Bezirksrates (act. 7/1-39) und der KESB (act. 8/1-107) wurden beigezogen. Auf die Einholung einer Stellungnahme des Vaters kann in Anwendung von § 66 Einführungsgesetz zum Kindes- und Erwachsenenschutzrecht (EG KESR) verzichtet werden. Das Verfahren ist spruchreif.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