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PQ170082 vom 5. Februar 2018</w:t>
      </w:r>
    </w:p>
    <w:p>
      <w:r>
        <w:t>ZH Obergericht, 2018-02-05, DE</w:t>
      </w:r>
    </w:p>
    <w:p>
      <w:r>
        <w:rPr>
          <w:b/>
        </w:rPr>
        <w:t xml:space="preserve">Quelle: </w:t>
      </w:r>
      <w:r>
        <w:t>https://mcp.opencaselaw.ch/entscheid/zh_obergericht_PQ170082</w:t>
      </w:r>
    </w:p>
    <w:p>
      <w:r>
        <w:t>FR: ZH_OBERGERICHT PQ170082 du 5 février 2018</w:t>
      </w:r>
    </w:p>
    <w:p>
      <w:r>
        <w:t>IT: ZH_OBERGERICHT PQ170082 del 5 febbraio 2018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Zusammenfassend zeigt die Interessenabwägung, dass die Gründe der Be- schwerdeführerin an der Akteneinsicht die Interessen der Erwachsenenschutzbe- hörde an der Geheimhaltung überwiegen. Die Beschwerde ist gutzuheissen. Die Akteneinsicht ist zu gewähren. Die entsprechenden Entscheide der Vorinstanzen sind aufzuheben.</w:t>
      </w:r>
    </w:p>
    <w:p>
      <w:r>
        <w:t>- 11 - III. Es sind für das obergerichtliche Beschwerdeverfahren keine Kosten zu erheben (Art. 106 Abs. 1 ZPO i.V.m. § 40 Abs. 3 EG KESR). Für eine Parteientschädigung an die Beschwerdeführerin aus der Staatskasse besteht keine gesetzliche Grund- lage.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