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PQ170071 vom 24. Oktober 2017</w:t>
      </w:r>
    </w:p>
    <w:p>
      <w:r>
        <w:t>ZH Obergericht, 2017-10-24, DE</w:t>
      </w:r>
    </w:p>
    <w:p>
      <w:r>
        <w:rPr>
          <w:b/>
        </w:rPr>
        <w:t xml:space="preserve">Quelle: </w:t>
      </w:r>
      <w:r>
        <w:t>https://mcp.opencaselaw.ch/entscheid/zh_obergericht_PQ170071</w:t>
      </w:r>
    </w:p>
    <w:p>
      <w:r>
        <w:t>FR: ZH_OBERGERICHT PQ170071 du 24 octobre 2017</w:t>
      </w:r>
    </w:p>
    <w:p>
      <w:r>
        <w:t>IT: ZH_OBERGERICHT PQ170071 del 24 ottobre 2017</w:t>
      </w:r>
    </w:p>
    <w:p>
      <w:pPr>
        <w:pStyle w:val="Heading2"/>
      </w:pPr>
      <w:r>
        <w:t>Erwägungen</w:t>
      </w:r>
    </w:p>
    <w:p>
      <w:r>
        <w:rPr>
          <w:b/>
        </w:rPr>
        <w:t>E. 11</w:t>
      </w:r>
    </w:p>
    <w:p>
      <w:r>
        <w:t>Oktober 2017 durch eine Gerichtsdelegation nicht veranlasst, den Sachver- halt, nun hinsichtlich der Situation der Kinder in K._____ SG, von sich aus weiter zu ergänzen. Der Vater B._____, welcher in K._____ über eine 4-Zimmer- Wohnung verfügt (Prot. S. 8), arbeitet im Drei-Schichtbetrieb in einem Industrieun- ternehmen (Prot. S. 7) und kann die Kinder, auch während der Nachtschicht, durch eine im gleichen Dorf lebende Tagesmutter betreuen lassen. Die Kinder sind eingeschult (Prot. S. 7, S. 9), und B._____ hat glaubhaft dargelegt, dass er sich nach den Herbstferien auch um schulische Fördermassnahmen kümmern würde, wie bspw. um Logopädie für D._____ (Prot. S. 10 f.). Der Vater will auf je- den Fall einen regelmässigen und guten Kontakt der Kinder zur Mutter aufrecht erhalten (Prot. S. 13). Es lässt sich den Akten entnehmen, dass die Eltern auch nach der Scheidung in einem guten Einvernehmen gestanden sind (Prot. S. 5). III. 1.1. Der Bezirksrat wies die Beschwerde, wie erwähnt, mit Urteil vom 6. Juni 2017 kostenfällig zu Lasten der Eltern ab (act. 3 S. 10, Dispositivziffer II.). Kosten können den Parteien nur auferlegt werden, wenn sie mit ihren Standpunkten im Prozess unterlegen sind. Es bleibt deshalb zu prüfen, ob der Bezirksrat zu Recht die Beschwerde abwies. Es ist somit zu beurteilen, ob die KESB zu Recht einen Abklärungsauftrag an die kjz erteilte.</w:t>
      </w:r>
    </w:p>
    <w:p>
      <w:r>
        <w:t>- 8 - 1.2. Die KESB zieht die erforderlichen Erkundigungen ein und erhebt die not- wendigen Beweise. Dafür kann sie eine geeignete Person oder Stelle mit Abklä- rungen beauftragen (Art. 446 Abs. 2 Satz 2 ZGB). In der Gestaltung der Abklä- rung ist die KESB im Kanton Zürich weitgehend frei. (Erst-)Gespräche mit den El- tern und dem Kind, Rücksprache mit der Person, welche die Gefährdungsmel- dung anbrachte, Einholen von Stellungnahmen involvierter Fachpersonen wie Ärzten und Lehrerinnen drängen sich in erster Linie zur Sachverhaltsabklärung auf. Weitergehende Abklärungen erfolgen (ausserhalb der Stadt Zürich) durch das kjz. Aufsuchende Abklärungen sind Eingriffe in die Privatsphäre. Sie müssen daher verhältnismässig sein. Analog zur Rechtsprechung zur Frage der Notwendigkeit der Einholung von Gutachten kann festgehalten werden, dass sich Abklärungs- aufträge dort erübrigen, wo die KESB eigenes Sachwissen hat bzw. haben sollte. Zudem sind aufsuchende Abklärungen nur zulässig, wenn - weitere - Kindes- schutzmassnahmen ernsthaft in Betracht zu ziehen sind. 2.1. Solche Anhaltspunkte sind vorliegend nicht gegeben bzw. nicht aktenkundig gemacht worden. Ausführungen der KESB wonach alles, was über den normalen Rahmen hinausgehe bzw. Eigeninitiative der Mutter (A._____) erfordert hätte, sei nicht oder mit wenig Unterstützung angegangen worden (act. 3 S. 5), oder es sei eine differenziertere Einschätzung des Familiensystems und des Kindeswohls vorzunehmen (act. 3 S. 9), können noch keinen aufsuchenden Abklärungsauftrag begründen. Die Mutter zog im Januar 2013, von N._____ SG herkommend, nach I._____ TG, wo sie bis November 2015 blieb. Im November 2015 zog sie mit fünf kleinen Kin- dern nach J._____ ZH. Im September 2017 zog sie alleine weiter nach M._____ BE. Der Umzug der Beschwerdeführerin nach I._____ mag im Zusammenhang mit der Ehescheidung von B._____ gestanden haben. Der nächste Umzug nach 2 ½ Jahren mit fünf kleinen Kindern von I._____ nach J._____ ist erklärungsbedürf- tig, begründet als solcher aber noch keinen Abklärungsauftrag. Der nun zwei Jah- re später stattfindende alleinige Weiterzug der Mutter nach M._____ lässt die Wohnsituation der Mutter als etwas unstet erscheinen. Möglicherweise erfasste</w:t>
      </w:r>
    </w:p>
    <w:p>
      <w:r>
        <w:t>- 9 - die Fachmitarbeiterin intuitiv eine grundsätzliche unstete Lebensart der Mutter, welche unter dem Aspekt des Kindswohls Beachtung verdient. Es wäre aber zu begründen gewesen, weshalb im vorliegenden Fall der unsteten Wohnsituation mit einem sich dahinter evtl. verbergenden Fluchtmechanismus zunächst bspw. nicht mit einer Erziehungshilfe oder der Errichtung einer Erziehungsbeistand- schaft zu begegnen wäre. Die Eltern, und somit auch die Mutter, kooperierten mit dem schulpsychologi- schen Dienst, als es um die Abklärung von D._____ im Oktober 2016 ging (act. 8/13/3). Die Eltern bestraften, offenbar auf Verlangen der Schule nach an- gemessener Reaktion, D._____ für das Zerkratzen eines Autos und das Beschä- digen eines Fahrrades; zusammen mit anderen Kindern liess er sich zu diesem Verhalten hinreissen. Die Mutter bot Hand zur kinderpsychiatrischen Untersuchung von C._____ durch den Spital Thurgau im Zeitraum von 20. Oktober 2015 bis 27. Mai 2016 (act. 8/13/1). Es ergab sich daraus, wie schon zuvor aus der Untersuchung im Mai 2014 durch den schulpsychologischen Dienst I._____ TG (act. 8/13/2), dass vor allem auch das Selbstbewusstsein von C._____ zu stärken sei. Offenbar besuch- te C._____ in der Folge eine über die Schule initiierte Psychomotorik-Therapie (act. 8/13/1 S. 9), wie auch eine Logopädie (act. 8/12). Der Hinweis der KESB, C._____ müsse nicht altersadäquate Betreuungsaufgaben für ihre vier kleinere (Halb-)geschwister übernehmen (act. 8/1), erhält unter dem Aspekt des Wegzugs der Mutter nach M._____ ohne ihre Kinder eine neue Facette (Prot. S. 5 f. unten). Möglicherweise nahm C._____ - entgegen der Darstellung der Mutter anlässlich der Anhörung durch die Fachmitarbeiterin der KESB am 10. März 2017 (act. 8/12) - über Gebühr Betreuungsfunktionen in der 7-köpfigen Familie wahr, welcher der eigenen Entwicklung abträglich war. Solche Auffälligkeiten können in Gesprächen thematisiert werden. Erst wenn sich nach Erteilung von Empfehlungen durch Fachpersonen an einer zunehmend besorgniserregenden und nicht erklärbaren Situation wenig ändert, sind aufsuchende Abklärungen (möglicherweise) zielfüh- rend. In diesem Sinne sind auch zu wenig Znüni im Kindergarten und nicht wet- tergerechte Kleidung auf niederschwellige Art anzusprechen (act. 8/1 S. 1 unten).</w:t>
      </w:r>
    </w:p>
    <w:p>
      <w:r>
        <w:t>- 10 - Zweifellos bestärkt elterliche Teilhabe am schulischen Alltag die Kinder in der Bewältigung der Anforderungen, und innerfamiliäre Vorbilder und elterliches En- gagement fördern eine positive Selbsteinschätzung der Kinder. Selbst wenn die Beanstandungen zutreffen würden (zur Darstellung der Eltern vgl. act. 8/12, Prot. S. 14 f.), indizieren mangelndes Interesse der Mutter an Theateraufführungen, Teilnahme am Elternabend erst auf Nachfrage und auch nur im obligatorischen Teil und angeblich wenige Eigenleistung zur dringend nötigen Förderung der Kin- der (act. 8/1 S. 1 unten f.) keine aufsuchende Abklärung, sondern rufen allenfalls nach einer klaren Reaktion oder Abmahnung durch die Verantwortlichen der Schule. Jokertage haben es an sich, dass ohne Vorliegen von Dispensations- gründen Kinder (während zweier Tage pro Schuljahr) dem Unterricht fernbleiben dürfen. Grundsätzlich dürfen Eltern über die Jokertage frei verfügen. So werden bspw. auch schon in der Unterstufe Jokertage bezogen, nur um einen Tag vor Fe- rienbeginn in ein fernes Land zu fliegen. Wenn die Mutter den Jokertag für C._____ an dem Tag bezogen hatte, an welchem die Schulklasse eine Moschee in O._____ besuchte, wobei unklar ist, ob es sich um die in die Schlagzeilen ge- langte Moschee handelt, kann ihr das unter dem Titel Bezug von Jokertage nicht nachteilig ausgelegt werden, und auch keine Gefährdungsmeldung begründen (vgl. die Darstellung des Vaters Prot. S. 14). 2.2. Sieben Kinder mit unterschiedlichen Bedürfnissen bei kleinem finanziellen Spielraum zu haben, (act. 12 S. 3) ist für Eltern eine grosse Herausforderung und stellt als solches eine unsichere Ausgangslage dar. Gleichwohl dürfen solche El- tern nicht quasi von vornherein als möglicherweise erziehungsunfähig oder einge- schränkt erziehungsfähig vermutet werden. Im Nachgang der Gefährdungsmel- dung der Schulleiterin Primarschule J._____ konnten keine aktenmässig fassba- ren Anhaltspunkte geliefert werden, die Anlass für weitere Abklärung gaben. Die notwendigen, v.a. schulischen und medizinischen Abklärungen sind bereits seit längerer Zeit im Gange. Eine allenfalls nicht der gängigen Norm entsprechende Lebensführung ist nicht abklärungsbedürftig, es sei denn die Lebensführung sei dem Kindeswohl abträglich und könne nicht mit Gesprächen, Weisungen etc. zum Wohle der Kinder geändert werden.</w:t>
      </w:r>
    </w:p>
    <w:p>
      <w:r>
        <w:t>- 11 - 3. Zusammenfassend ist die Beschwerde gutzuheissen, und auf den angefoch- tenen Abklärungsauftrag zu verzichten. Die entsprechenden Entscheide der Vor- instanzen sind aufzuheben. Der Bezirksrat wies die Beschwerde zu Unrecht ab, weshalb die Kosten seines Verfahrens den Parteien nicht aufzuerlegen sind. IV. Auch für das Verfahren der Kammer hat die Mutter keine Kosten zu tragen, wes- halb ihr Gesuch um unentgeltliche Rechtspflege als gegenstandslos geworden abzuschreiben ist. Es wurde bereits erwähnt, dass sich B._____ nicht mit der Be- schwerde identifizierte (vorne I./4.1.). Es gibt deshalb keine unterliegende Partei, der Kosten für das Verfahren auferlegt werden könnten. Es sind für das oberge- richtliche Beschwerdeverfahren demzufolge keine Kosten zu erheben (Art. 106 Abs. 1 ZPO i.V.m. § 40 Abs. 3 EG KESR). Für eine Parteientschädigung an die Beschwerdeführerin aus der Staatskasse besteht keine gesetzliche Grundlage.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