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PQ170014 vom 2. Mai 2017</w:t>
      </w:r>
    </w:p>
    <w:p>
      <w:r>
        <w:t>ZH Obergericht, 2017-05-02, DE</w:t>
      </w:r>
    </w:p>
    <w:p>
      <w:r>
        <w:rPr>
          <w:b/>
        </w:rPr>
        <w:t xml:space="preserve">Quelle: </w:t>
      </w:r>
      <w:r>
        <w:t>https://mcp.opencaselaw.ch/entscheid/zh_obergericht_PQ170014</w:t>
      </w:r>
    </w:p>
    <w:p>
      <w:r>
        <w:t>FR: ZH_OBERGERICHT PQ170014 du 2 mai 2017</w:t>
      </w:r>
    </w:p>
    <w:p>
      <w:r>
        <w:t>IT: ZH_OBERGERICHT PQ170014 del 2 maggio 2017</w:t>
      </w:r>
    </w:p>
    <w:p>
      <w:pPr>
        <w:pStyle w:val="Heading2"/>
      </w:pPr>
      <w:r>
        <w:t>Erwägungen</w:t>
      </w:r>
    </w:p>
    <w:p>
      <w:r>
        <w:rPr>
          <w:b/>
        </w:rPr>
        <w:t>E. 1</w:t>
      </w:r>
    </w:p>
    <w:p>
      <w:r>
        <w:t>Über die am tt. April 1930 geborene A._____ ist am 11. Juni 2015 von der KESB des Bezirkes Meilen gestützt auf Art. 394 ZGB i.V.m. Art. 395 ZGB eine Vertretungsbeistandschaft mit Vermögensverwaltung angeordnet worden (act. 6 = act. 3/2 = act. 10/95). Das Dispositiv lautet wie folgt: "1. Für A._____, geboren tt. April 1930, von … ZH und Zürich, wird gestützt auf Art. 394 ZGB i. V. m. Art 395 ZGB eine Vertretungsbeistandschaft mit Vermögensverwaltung angeordnet.</w:t>
      </w:r>
    </w:p>
    <w:p>
      <w:r>
        <w:rPr>
          <w:b/>
        </w:rPr>
        <w:t>E. 2</w:t>
      </w:r>
    </w:p>
    <w:p>
      <w:r>
        <w:t>Der Beiständin werden im Rahmen dieser Vertretungsbeistandschaft mit Vermögensverwal- tung folgende Aufgabenbereiche übertragen, a) für eine geeignete Wohnsituation bzw. Unterkunft besorgt zu sein und A._____ bei al- len in diesem Zusammenhang erforderlichen Handlungen soweit nötig zu vertreten, b) für das gesundheitliche Wohl sowie für hinreichende medizinische Betreuung besorgt zu sein und A._____ bei den dafür erforderlichen Vorkehrungen soweit nötig zu ver- treten, c) A._____ beim Erledigen der administrativen Angelegenheiten soweit nötig zu vertre- ten, insbesondere auch im Verkehr mit Behörden, Ämtern, Banken, Post, Sozialversi- cherungen und anderen Versicherungen, sonstigen Institutionen und Privatpersonen, d) A._____ beim Erledigen der finanziellen Angelegenheiten zu vertreten, insbesondere das gesamte Einkommen und das gesamte Vermögen zu verwalten und A._____ ein Konto in eigener Verwaltung zu belassen, auf welches sie alleine Zugriff hat, e) A._____ im Nachlassverfahren ihres am tt.mm.2013 verstorbenen Ehemannes, B._____, zu vertreten.</w:t>
      </w:r>
    </w:p>
    <w:p>
      <w:r>
        <w:rPr>
          <w:b/>
        </w:rPr>
        <w:t>E. 3</w:t>
      </w:r>
    </w:p>
    <w:p>
      <w:r>
        <w:t>Als Beiständin wird C._____, Fachstelle Erwachsenenschutz Bezirk Meilen, ernannt mit der Einladung, nötigenfalls Antrag auf Anpassung der behördlichen Massnahmean veränderte Verhältnisse zu stellen (Art. 414 ZGB).</w:t>
      </w:r>
    </w:p>
    <w:p>
      <w:r>
        <w:rPr>
          <w:b/>
        </w:rPr>
        <w:t>E. 4</w:t>
      </w:r>
    </w:p>
    <w:p>
      <w:r>
        <w:t>Das Honorar wird gemäss den aktuellen Richtlinien für die Entschädigung und den Spesen- ersatz für Beistände entrichtet.</w:t>
      </w:r>
    </w:p>
    <w:p>
      <w:r>
        <w:rPr>
          <w:b/>
        </w:rPr>
        <w:t>E. 5</w:t>
      </w:r>
    </w:p>
    <w:p>
      <w:r>
        <w:t>Die Beiständin wird gebeten ein Inventar per Rechtskraft dieses Entscheides gestützt auf Art. 405 Abs. 2 ZGB i. V. m. § 17 EG KESR aufzunehmen und der KESB Bezirk Meilen in- nert zwei Monaten zur Genehmigung einzureichen. Mit dem Inventar ist die genaue Konto- bezeichnung des Kontos in eigener Verwaltung zu nennen.</w:t>
      </w:r>
    </w:p>
    <w:p>
      <w:r>
        <w:rPr>
          <w:b/>
        </w:rPr>
        <w:t>E. 6</w:t>
      </w:r>
    </w:p>
    <w:p>
      <w:r>
        <w:t>Nächster Berichtstermin: 30. Juni 2017</w:t>
      </w:r>
    </w:p>
    <w:p>
      <w:r>
        <w:rPr>
          <w:b/>
        </w:rPr>
        <w:t>E. 7</w:t>
      </w:r>
    </w:p>
    <w:p>
      <w:r>
        <w:t>a) H._____ hat sich in den letzten Jahren unbestrittenermassen sehr in- tensiv um die Beschwerdeführerin gekümmert. Offenbar basiert sein Engagement</w:t>
      </w:r>
    </w:p>
    <w:p>
      <w:r>
        <w:t>- 19 - auf einem 100 %igen Arbeitspensum von 40 Stunden/pro Woche (vgl. Arbeitsver- trag zwischen der Beschwerdeführerin und H._____ vom 1. Dezember 2013 [act. 10/92/3]; zur Bezahlung der Dienstleistungen vgl. act. 10/25). In act. 10/91 S. 1 hat H._____ (2015) erklärt, immer noch berufstätig zu sein und seine eigene Firma zu führen (ursprünglich Seifenproduktion, dann Kosmetika), wobei er dort angab, die Firma in absehbarer Zeit liquidieren zu wollen, um die Freizeit zu ge- niessen und seinen Hobbies nachgehen zu können. Geschehen ist dies allerdings nicht. b) H._____ ist am tt. November 1932 geboren. Er ist im heutigen Zeitpunkt mehr als 84 Jahre alt. Auch wenn notorisch ist, dass nicht alle Leute gleich schnell altern und er offenbar bis anhin in der Lage war, die Beschwerdeführerin zu unterstützen, bleiben aufgrund des hohen Alters von H._____ grosse Beden- ken im Hinblick auf die Führung der neu anzuordnenden und damit für die Zukunft zu regelnden Beistandschaft. Hohes eigenes Alter eines Beistandes spricht inso- fern gegen die persönliche Eignung, weil nicht erwartet werden kann, dass neben der Bewältigung des eigenen Lebens – sogar noch neben der Führung eines Ge- schäfts – genügend Kraft und Übersicht bleibt, um eine in persönlicher und auch finanzieller Hinsicht sehr aufwändige Beistandschaft führen zu können. Dem Ein- wand der Beschwerdeführerin, einer Person von 80 Jahren werde auch nicht zwingend die Verfügungsbefugnis oder der Fahrausweis entzogen, kann entge- gengehalten werden, dass es in vielen Bereichen Altersgrenzen gibt, die – z.B. das Pensionsalter 65 für Angestellte des Kantons Zürich – grundsätzlich eingehal- ten werden. H._____ hat schon im Jahr 2015 die – auch für die Kammer erkenn- bare – sehr hohe Belastung erwähnt (act. 10/76 S. 1). Es muss auch in die Über- legungen der Kammer einfliessen, ob er sich – um den Erwartungen an die inner- familiäre, offenbar ganz selbstverständlich geltende Beistandspflicht gerecht zu werden (vgl. die Bemerkung der Beschwerdeführerin in Prot. S. 11) – nicht zu viel zumutet. Behördlicherseits darf nämlich auch keine Lösung getroffen werden, durch die der Beistand zunehmend und erheblich be- und überlasten wird, auch wenn er selber dieser Tatsache zu wenig Rechnung trägt.</w:t>
      </w:r>
    </w:p>
    <w:p>
      <w:r>
        <w:t>- 20 - c) Der Bezirksrat (und zuvor schon die KESB) hat massgeblich darauf abge- stellt, dass sich H._____ engagiert und deutlich gegen die Errichtung einer Bei- standschaft über die Beschwerdeführerin gestellt habe, was ihn für eine spätere Beistandschaft disqualifiziere. So eindeutig ist diese Folgerung aus der Sicht der Kammer nicht, ist es doch durchaus denkbar, dass das Ergebnis der Entschei- dung, wenn sie dann einmal feststeht, akzeptiert wird. Immerhin hat H._____ sel- ber den Entscheid der Vorinstanz, mit dem er nicht zum Beistand ernannt wurde, nicht angefochten. Eine andere Frage ist, ob die Abwehr einer Verbeiständung durch H._____ dafür spricht, dass er sich mit gewissen Aspekten der Realität schwer tut und diese zu negieren scheint, z.B. seine Kapazitäten sowie den Auf- wand des Amtes. d) Neben den ganz erheblichen Bedenken wegen des hohen Alters von H._____ sind ergänzend diejenigen aktenkundigen Vorkommnisse zu erwähnen, die seine Eignung ebenfalls in Frage stellen. Im Gutachten des Psychiatriezent- rums … (act. 10/60 S. 5) wird darauf hingewiesen, dass H._____ gemäss Anga- ben von I._____ das Notfallalarmband seiner Schwester abgestellt habe. Dass dem so war, bestreitet er, wird aber von der Pflegerin der Beschwerdeführerin (act. 10/60 S. 5) sowie von Rechtsanwalt Y._____ (act. 10/25) bestätigt. Ein sol- ches Vorgehen ist bei einer betagten Person mit gesundheitlichen Problemen nicht verständlich, umso mehr als das Tragen eines solchen Armbandes keine Einschränkung oder Belastung mit sich bringt und im Verhältnis zu den Gefahren, die ein Sturz oder Unfall und dessen Folgen haben kann, eine Lappalie ist. Er- wähnenswert ist auch eine Passage im psychiatrischen Gutachten betreffend die neuro-psychologische Testuntersuchung. Die Beschwerdeführerin erschien – in Begleitung ihres Bruders – zum (zweiten) Termin beim Psychologen. Beide seien – so das Gutachten – über den durchzuführenden Test sehr erstaunt und empört gewesen und hätten sich darüber beklagt, dass sie vorab nicht informiert worden seien. Gerade das sei aber ausführlich geschehen, woran sich nicht nur die Be- schwerdeführerin, sondern offenbar auch der Bruder nicht mehr habe erinnern können. In einem längeren Gespräch habe sich die Beschwerdeführerin weit we- niger gegen die Untersuchung gewehrt als ihr Bruder, der sie letztlich so stark be- einflusst habe, dass die Tests nicht durchgeführt werden konnten (act. 10/60</w:t>
      </w:r>
    </w:p>
    <w:p>
      <w:r>
        <w:t>- 21 - S. 9). Auch das lässt Zweifel daran aufkommen, inwieweit H._____ zu kooperie- ren vermag. Schliesslich ist da noch die bereits mehrfach erwähnte Gefähr- dungsmeldung von Dr. E._____, dem die Beschwerdeführerin vorwirft, dass er sich von der Stieftochter habe instrumentalisieren lassen. In dieser Meldung aus dem Jahr 2012 (und damit vor dem Tod von B._____, als das Familienzerwürfnis noch nicht bestand und daher auch kein Grund für eine Instrumentalisierung er- sichtlich ist), weist der Arzt darauf hin, dass "die medizinischen Massnahmen durch den Bruder der Patientin, Herr H._____, wahrscheinlich aus Unverständnis, teilweise sabotiert [worden seien]. […] Anlässlich eines Hausbesuches und weil die Spitex sich grosse Sorgen wegen der Bettlägrigkeit, Sturzgefahr etc. bei der Patientin machte, veranlasste ich die Hospitalisation auf der medizinischen Klinik der Spital …. Ich organisierte die Ambulanz, als diese eintraf und ich bereits wei- ter zum nächsten Notfall fuhr, vereitelte der Bruder, die aus unserer Sicht drin- gend notwendige Hospitalisation […]. Wie mir der Chefarzt der medizinischen Kli- nik, Herr PD Dr. med. D._____, nachfolgend erklärte, gestaltete sich der Beginn der Hospitalisation äussert schwierig, da Patientin und Bruder auf eine sofortige Entlassung drängten. Bei der Entlassung gab der Bruder der Patientin vor, die Nachbehandlung zu organisieren […]. Ein von mir organisierter Spitexbesuch bei der Patientin am 29.10.12 zeigte wiederum, dass der Bruder medizinische Mass- nahmen sabotierte" (act. 10/3 S. 1 f.). Jedenfalls in zwei der drei Fälle schuf H._____ ohne Not Situationen, die für die Beschwerdeführerin hätten gefährlich werden können. Auch dass stellt seine Eignung erheblich in Frage. e) Was das familiäre Zerwürfnis anbelangt, gibt es die durchaus nachvoll- ziehbare Empfehlung des Psychiatriezentrums … – Wahl einer aussenstehenden Person – in die Überlegungen einzubeziehen (act. 10/60 S. 10), so dass die Kammer in einer Gesamtbetrachtung der Situation der Beschwerdeführerin und jener von H._____ zum Ergebnis kommt, H._____ nicht zum Beistand zu machen. Auch diesbezüglich ist der Entscheid der Vorinstanz zu bestätigen.</w:t>
      </w:r>
    </w:p>
    <w:p>
      <w:r>
        <w:rPr>
          <w:b/>
        </w:rPr>
        <w:t>E. 8</w:t>
      </w:r>
    </w:p>
    <w:p>
      <w:r>
        <w:t>Die Beschwerdeführerin rügt, die Vorinstanz habe die Eventualanträge übergangen. Bei den vorinstanzlich gestellten Eventualanträgen ging es darum, H._____ zusätzlich geeignete Weisungen in Bezug auf die Erledigung administra-</w:t>
      </w:r>
    </w:p>
    <w:p>
      <w:r>
        <w:t>- 22 - tiver und finanzieller Angelegenheiten zu erteilen, ihn zur periodischen Rech- nungslegung und Berichterstattung zu verpflichten, sowie um die Verpflichtung der Beschwerdeführerin, einen Rechtsanwalt ihrer Wahl für das Nachlassverfah- ren ihres verstorbenen Ehemannes zu mandatieren (act. 7/1 S. 2). Anzumerken ist, dass seitens der Rechtsvertretung von I._____ die Frage aufgeworfen wurde, ob die Beschwerdeführerin für das vorliegende Verfahren noch in der Lage gewesen sei, rechtgültig einen Anwalt zu mandatieren. In Rechtsstreitigkeiten betreffend Beistandschaften wird die zu verbeiständende Person grundsätzlich als urteilsfähig angesehen, andernfalls auf Rechtsmittel in solchen Angelegenheiten mit Hinweis auf die fehlende Urteilsfähigkeit nicht einge- treten werden könnte bzw. müsste (Art. 59 Abs. 2 lit. c ZPO). Was für die eigene Verfahrensteilnahme gilt, muss mindestens ebenso sehr für die Mandierung eines Rechtsvertreters für solche Verfahren gelten. Differenzierter ist die Situation zu betrachten, wenn es um andere Rechtsstreitigkeiten und um die Beauftragung ei- ner Rechtsvertretung dafür geht. Ob die Beschwerdeführerin dazu noch in der Lage wäre, ist nicht sicher, muss aber auch nicht geklärt werden, geht es doch hier darum, dass ihre persönlichen und finanziellen Bedürfnisse durch geeignete Anordnungen abgedeckt werden und nicht darum, dass ihr Weisungen erteilt werden, wie sie ein Problem selber regeln soll. Dass gegebenenfalls keine Person bestimmt werden sollte, gegen die die Beschwerdeführerin Vorbehalte hat, ist selbstverständlich. Was die (subeventualiter) gegebenenfalls H._____ als Bei- stand zu erteilenden Weisungen anbelangt, können sie die zuvor geschilderten Bedenken, die gegen seine Ernennung bestehen, nicht zerstreuen, basieren die- se doch nicht auf konkreten Vorbehalten gegenüber der Bewältigung gewisser, ganz bestimmter Aufgaben, sondern auf der Verneinung der persönlichen Eig- nung von H._____. Ergänzend ist darauf hinzuweisen, dass die Vorinstanz in ih- rem Entscheid durchaus auf die genannten Anträge Bezug genommen hat, sie aber wegen der stark ablehnenden Haltung von H._____ für nicht erfolgsverspre- chend hielt (act. 6 S. 13).</w:t>
      </w:r>
    </w:p>
    <w:p>
      <w:r>
        <w:rPr>
          <w:b/>
        </w:rPr>
        <w:t>E. 9</w:t>
      </w:r>
    </w:p>
    <w:p>
      <w:r>
        <w:t>Der Vollständigkeit halber ist noch auf den Vorsorgeauftrag vom 1. Feb- ruar 2013 einzugehen (die Patientenverfügung vom 28. November 2012 ist</w:t>
      </w:r>
    </w:p>
    <w:p>
      <w:r>
        <w:t>- 23 - hier nicht von Belang), welche erstmals vor Vorinstanz eingereicht worden ist (act. 7/3/4). Gemäss FamKomm Erwachsenenschutz-Steck (N. 12 zu Art. 450f ZGB und N. 6 zu Art. 450a ZGB) entscheidet sich die Zulässigkeit des Vorbrin- gens neuer Tatsachen und Beweismittel nach dem kantonalen Verfahrensrecht, subsidiär nach der ZPO. Diesbezüglich wird für die Zulässigkeit von Noven im Rechtsmittelverfahren bei Geltung der uneingeschränkten Untersuchungsmaxime entsprechend Art. 229 Abs. 3 ZPO zum Teil bejaht und zum Teil verneint (vgl. BSK ZPO-Steck [2. Auflage 2013], N. 42b zu Art. 296 mit vielen Hinweisen), wo- bei das Bundesgericht in BGE 138 III 625 = Pra 2013 Nr. 26 die strengere Ansicht vertreten hat. Mit der Vorinstanz kann die Frage letztlich offen gelassen werden und auch an dieser Stelle nochmals darauf hingewiesen werden, dass auch beim Vorsorgeauftrag die Eignung des Beauftragten ebenfalls von Amtes wegen abzu- klären ist (vgl. BSK ZGB I-Rumo-Jungo [5. Auflage 2014], N. 25 zu Art. 363). Diesbezüglich kann auf das Vorstehende verwiesen werden.</w:t>
      </w:r>
    </w:p>
    <w:p>
      <w:r>
        <w:rPr>
          <w:b/>
        </w:rPr>
        <w:t>E. 10</w:t>
      </w:r>
    </w:p>
    <w:p>
      <w:r>
        <w:t>Zusammenfassend ist festzuhalten, dass die Beschwerde abzuweisen ist. Damit bleibt es bei der von der KESB angeordneten Verbeiständung der Be- schwerdeführerin und bei der Einsetzung von C._____ als Beiständin. Hinzuzufü- gen ist, dass eine Verbeiständung in keiner Weise verhindert, dass H._____ für die Beschwerdeführerin weiterhin der vertraute Bruder und die für sie sehr wichti- ge Bezugsperson bleibt. III. Bei diesem Ausgang des Verfahrens wird die Beschwerdeführerin kostenpflichtig.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