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PQ160052 vom 8. August 2016</w:t>
      </w:r>
    </w:p>
    <w:p>
      <w:r>
        <w:t>ZH Obergericht, 2016-08-08, DE</w:t>
      </w:r>
    </w:p>
    <w:p>
      <w:r>
        <w:rPr>
          <w:b/>
        </w:rPr>
        <w:t xml:space="preserve">Quelle: </w:t>
      </w:r>
      <w:r>
        <w:t>https://mcp.opencaselaw.ch/entscheid/zh_obergericht_PQ160052</w:t>
      </w:r>
    </w:p>
    <w:p>
      <w:r>
        <w:t>FR: ZH_OBERGERICHT PQ160052 du 8 août 2016</w:t>
      </w:r>
    </w:p>
    <w:p>
      <w:r>
        <w:t>IT: ZH_OBERGERICHT PQ160052 del 8 agosto 2016</w:t>
      </w:r>
    </w:p>
    <w:p>
      <w:pPr>
        <w:pStyle w:val="Heading2"/>
      </w:pPr>
      <w:r>
        <w:t>Erwägungen</w:t>
      </w:r>
    </w:p>
    <w:p>
      <w:r>
        <w:rPr>
          <w:b/>
        </w:rPr>
        <w:t>E. 1</w:t>
      </w:r>
    </w:p>
    <w:p>
      <w:r>
        <w:t>Der Beschwerdeführer ist der Vater der Kinder C._____, geboren am tt.mm.2005, E._____, geboren am tt.mm.2007, und D._____, geboren am tt.mm.2015. Die Beschwerdegegnerin ist die Mutter dieser Kinder.</w:t>
      </w:r>
    </w:p>
    <w:p>
      <w:r>
        <w:rPr>
          <w:b/>
        </w:rPr>
        <w:t>E. 2</w:t>
      </w:r>
    </w:p>
    <w:p>
      <w:r>
        <w:t>Auf eine Gefährdungsmeldung der Schule betreffend C._____ vom 5. No- vember 2012 erteilte die Vormundschaftsbehörde F._____ am 8. November 2012 dem Sozialzentrum G._____ den Auftrag, die Lebensverhältnisse von C._____ abzuklären und wenn notwendig den Erlass von Kindesschutzmassnahmen zu beantragen (act. 9/4). Mit einer als Schutzschrift bezeichneten Eingabe vom 6. November 2012 hatte der Beschwerdeführer erfolglos versucht, diesen Schritt zu verhindern (act. 9/5). Auf Anregung des Abklärungsteams wurde dieser Auftrag am 9. April 2013 auf E._____ ausgedehnt (act. 10/3). Im Schlussbericht vom 12. Juni 2013 (C._____; act. 9/25) bzw. vom 27. Februar 2014 (E._____; act. 10/22) wurde sowohl für C._____ als auch für E._____ die Errichtung einer Beistand- schaft beantragt. Im März 2014 trat C._____ in das Pädagogische Zentrum H._____ in I._____ ein. Aufgrund von positiven Rückmeldungen und in Anbe- tracht des Widerstandes der Eltern verzichtete die Kindes- und Erwachsenen- schutzbehörde der Stadt Zürich (KESB), welche inzwischen die Vormundschafts- behörde abgelöst hatte, am 22. Mai 2015 auf die Anordnung einer Beistandschaft (act. 9/136 und act. 10/74). Am 4. August 2015 folgte eine Gefährdungsmeldung durch Dr. med. J._____, die behandelnde Kinder- und Jugendpsychiaterin von C._____, die wegen der Belas- tung von E._____ durch elterliche Konflikte beantragte, für E._____ ebenfalls eine Platzierung im H._____ zu prüfen (act. 9/137 und act. 10/75). Nachdem eine An- hörung der Eltern am 5. Januar 2016 zeigte, dass sich die Situation nach der zwi- schenzeitlichen Geburt von D._____ am tt.mm.2015 und der mit der Erteilung der Niederlassungsbewilligung verbundenen Klärung des aufenthaltsrechtlichen Sta- tus der Mutter entspannt hatte und die Eltern die Absicht bekundeten, eine</w:t>
      </w:r>
    </w:p>
    <w:p>
      <w:r>
        <w:t>- 3 - Paartherapie zu beginnen (act. 10/95), wurde auf die Anordnung von Kindes- schutzmassnahmen verzichtet (act. 10/97).</w:t>
      </w:r>
    </w:p>
    <w:p>
      <w:r>
        <w:rPr>
          <w:b/>
        </w:rPr>
        <w:t>E. 3</w:t>
      </w:r>
    </w:p>
    <w:p>
      <w:r>
        <w:t>Weil es in der Folge wieder zu Konflikten zwischen den Eltern kam, die kei- ne Paartherapie aufgenommen hatten, erstattete die Sozialarbeiterin K._____, die an den bisherigen Abklärungen beteiligt gewesen war, eine neue Gefährdungs- meldung mit dem Antrag, für alle drei Kinder geeignete Kindesschutzmassnah- men zu treffen (act. 9/138, act. 10/98 und act. 11/1). Die KESB hörte daraufhin beide Eltern sowie C._____ und E._____ an (act. 9/141, act. 9/143, act. 9/158 und act. 9/159) und ordnete am 14. Juni 2016 für je- des der drei Kinder eine Beistandschaft nach Art. 308 Abs. 1 und Abs. 2 ZGB an und ernannte K._____ zur Beiständin, wobei einer (vom Vater bereits angekün- digten) Beschwerde die aufschiebende Wirkung entzogen wurde (act. 9/164; act. 10/109; act. 11/13).</w:t>
      </w:r>
    </w:p>
    <w:p>
      <w:r>
        <w:rPr>
          <w:b/>
        </w:rPr>
        <w:t>E. 4</w:t>
      </w:r>
    </w:p>
    <w:p>
      <w:r>
        <w:t>Mit Eingabe an den Bezirksrat vom 24. Juni 2016 beantragte der Vater die Wiederherstellung der aufschiebenden Wirkung (act. 7/1). Die KESB beantragte in ihrer Vernehmlassung vom 5. Juli 2016 die Abweisung dieses Antrags (act. 7/6). Die Mutter stellte in ihrer freiwilligen Stellungnahme vom 6. Juli 2016 den gleichen Antrag (act. 7/8). Mit Beschluss vom 14. Juli 2016 wies der Bezirks- rat die Beschwerde gegen den Entzug der aufschiebenden Wirkung ab (act. 6).</w:t>
      </w:r>
    </w:p>
    <w:p>
      <w:r>
        <w:rPr>
          <w:b/>
        </w:rPr>
        <w:t>E. 5</w:t>
      </w:r>
    </w:p>
    <w:p>
      <w:r>
        <w:t>Gegen den vorinstanzlichen Entscheid, der ihm am 18. Juli 2016 zugestellt wurde (act. 7/15), erhob der Vater mit Eingabe vom 25. Juli 2016 (act. 2) rechtzei- tig Berufung an die Kammer und stellte das Gesuch (act. 2 S. 2), "es sei auf die Beschwerde gegen die Entscheidung des Bezirksrates vom 14. Juli 2016 der Beschluss der II. Kammer aufzuheben und die entzogene aufschiebende Wirkung wiederherzustellen." Auf die Einholung von Stellungnahmen der Mutter oder der Vorinstanzen kann verzichtet werden, da die Beschwerde offensichtlich unbegründet ist (§ 66 Abs. 1 EG KESR).</w:t>
      </w:r>
    </w:p>
    <w:p>
      <w:r>
        <w:rPr>
          <w:b/>
        </w:rPr>
        <w:t>E. 6</w:t>
      </w:r>
    </w:p>
    <w:p>
      <w:r>
        <w:t>Offenbar ist der Vater mit dem Handeln der Beiständin im Zusammenhang mit der Trennung und dem damit verbundenen Wohnungswechsel der Mutter nicht einverstanden und wirft ihr Voreingenommenheit zugunsten der Mutter vor. Diese Einwände richten sich nicht gegen die Errichtung der Beistandschaft an sich, sondern gegen die Eignung der mit dieser Aufgabe betrauten Person. Sie sind damit von vornherein nicht geeignet, um die Wiederherstellung der aufschie- benden Wirkung einer Beschwerde gegen die Errichtung der Beistandschaft zu begründen. Ein Wechsel des Beistandes ist immer mit dem Verlust von Wissen verbunden, das sich in solchen Verfahren, in denen es um Menschen und Beziehungen geht, in der Regel nicht vollständig weitergeben, geschweige denn aus den Akten re- konstruieren lässt. Ein Wechsel des Beistandes ist daher wenn möglich zu ver- meiden, und tauchen derartige Vorwürfe auf, was in längeren Verfahren nicht un- gewöhnlich ist, ist es nicht angezeigt, die Beistandsperson vorsorglich auszu- wechseln, es sei denn, dies erweise sich voraussichtlich als unumgänglich, son-</w:t>
      </w:r>
    </w:p>
    <w:p>
      <w:r>
        <w:t>- 10 - dern es ist mit einem solchen Schritt zuzuwarten, bis im Rahmen der Behandlung der Beschwerde in der Sache feststeht, ob dies notwendig ist. Wie der Vater schildert, unterstützte die Beiständin die Mutter bei der Suche nach einer Wohnung für sich und die Kinder. Dass sie in dieser Situation eingriff, er- scheint objektiv gerechtfertigt, und es ist davon auszugehen, dass eine andere Beistandsperson ebenfalls nicht untätig geblieben wäre, sondern nach einer Lö- sung für die infolge der Trennung der Parteien unklare Wohnsituation gesucht hätte. Den Vater stört der damit verbundene Eingriff in die elterliche Obhut, den er als parteiisch empfindet (vgl. act. 3/2). Allerdings handelt es sich bei D._____ um ein Kleinkind und für E._____ schlug der Vater selbst eine Fremdplatzierung vor (act. 9/159 und act. 9/161). Das Verhalten der Beiständin erscheint unter diesen Umständen zumindest vertretbar und bietet jedenfalls keinen Anlass, sie sofort aus ihrem Amt zu entfernen und zu ersetzen, und es wird bei der Behandlung der Beschwerde gegen die Errichtung der Beistandschaft zu prüfen sein, ob die Ein- wände des Vaters gegen ihre Person begründet sind, sofern er sie aufrecht erhält.</w:t>
      </w:r>
    </w:p>
    <w:p>
      <w:r>
        <w:rPr>
          <w:b/>
        </w:rPr>
        <w:t>E. 7</w:t>
      </w:r>
    </w:p>
    <w:p>
      <w:r>
        <w:t>Zusammenfassend ist festzuhalten, dass die KESB und der Bezirksrat die Voraussetzungen für den Entzug der aufschiebenden Wirkung zurecht für gege- ben hielten. Dem Vater gelingt es nicht, diese Einschätzung umzustossen. Seine Beschwerde gegen den Entzug der aufschiebenden Wirkung ist deshalb abzu- weisen. III. Der Beschwerdeführer unterliegt mit seinem Rechtsmittel und hat daher die Ver- fahrenskosten zu tragen.</w:t>
      </w:r>
    </w:p>
    <w:p>
      <w:r>
        <w:t>- 11 -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