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PQ120004 vom 26. Oktober 2011</w:t>
      </w:r>
    </w:p>
    <w:p>
      <w:r>
        <w:t>ZH Obergericht, 2011-10-26, DE</w:t>
      </w:r>
    </w:p>
    <w:p>
      <w:r>
        <w:rPr>
          <w:b/>
        </w:rPr>
        <w:t xml:space="preserve">Quelle: </w:t>
      </w:r>
      <w:r>
        <w:t>https://mcp.opencaselaw.ch/entscheid/zh_obergericht_PQ120004</w:t>
      </w:r>
    </w:p>
    <w:p>
      <w:r>
        <w:t>FR: ZH_OBERGERICHT PQ120004 du 26 octobre 2011</w:t>
      </w:r>
    </w:p>
    <w:p>
      <w:r>
        <w:t>IT: ZH_OBERGERICHT PQ120004 del 26 ottobre 2011</w:t>
      </w:r>
    </w:p>
    <w:p>
      <w:pPr>
        <w:pStyle w:val="Heading2"/>
      </w:pPr>
      <w:r>
        <w:t>Erwägungen</w:t>
      </w:r>
    </w:p>
    <w:p>
      <w:r>
        <w:rPr>
          <w:b/>
        </w:rPr>
        <w:t>E. 3</w:t>
      </w:r>
    </w:p>
    <w:p>
      <w:r>
        <w:t>Die Beschwerdegegnerin hat in ihrer Eingabe vom 29. März 2012 (act. 18) darauf hingewiesen, dass die Aufhebung einer Beistandschaft kein komplizierter Sachverhalt sei. Dem Beschwerdeführer sei lediglich eine Hilfe- stellung auferlegt und ihm seien weder seine Mündigkeit noch Urteilsfähigkeit abgesprochen worden. Wenn der Beschwerdeführer sich zutraue, ein grosses Vermögen sowie seine Liegenschaft mit Steuerwert Fr. 300'000 ohne Hilfe zu verwalten, hätte er auch seine Einwände selber dem Bezirksrat vortragen können. Die Befürchtungen der Beschwerdegegnerin seien nicht ganz unbegründet</w:t>
      </w:r>
    </w:p>
    <w:p>
      <w:r>
        <w:t>gewesen, habe doch der Beschwerdeführer den Verwaltungsvertrag mit einer externen Buchhaltungs- und Revisionsstelle letztlich doch benötigt, diesen aller- dings erst im Rekursverfahren abgeschlossen. Daher könne die Beschwerdegeg- nerin nicht zu einer Entschädigung verhalten werden. Auf den im Wesentlichen gleichen Überlegungen beruht die ablehnende vor- instanzliche Begründung der Entschädigungsregelung: Der Beschwerdeführer habe die Bedenken der Beschwerdegegnerin nicht aus dem Weg geräumt, indem er nicht schon von Anfang an die Verwaltungsaufgaben seiner Eigentums- wohnung mit einem Verwaltungsvertrag an eine externe Buchhaltungs- und Revisionsstelle übertragen habe. Dieser Vertrag sei erst später abgeschlossen worden, so dass eine nicht unbegründete Sorge bestanden habe, der Beschwer- deführer könne die Wohnung nicht selber verwalten. Anzumerken ist, dass die Vorinstanz die Frage, ob eine Verbeiständung des Beschwerdeführers ange- bracht gewesen sei, klar verneinte und keinerlei Gründe sah, warum er seine Angelegenheiten nicht persönlich regeln könne. Zudem wies sie darauf hin, dass die angeordnete Massnahme nicht geeignet sei, selbstschädigende Vorkehren eines Betroffenen zu verhindern, so dass sie sich zusätzlich als ungeeignet erweise.</w:t>
      </w:r>
    </w:p>
    <w:p>
      <w:r>
        <w:rPr>
          <w:b/>
        </w:rPr>
        <w:t>E. 4</w:t>
      </w:r>
    </w:p>
    <w:p>
      <w:r>
        <w:t>Der Beschwerdeführer kritisiert den vorinstanzlichen Entscheid: Die Wohnung des Beschwerdeführers sei auf Veranlassung des Vormundes von der Firma ... verwaltet und die Verwaltung sei nahtlos fortgeführt worden, so dass kein Anlass zur Beunruhigung bestanden habe. Die Beistandschaft sei entgegen der Empfehlung im Rechenschaftsbericht des Vormundes errichtet worden. Der Be- schwerdeführer habe deshalb anwaltliche Hilfe benötigt und einen Anspruch auf eine Entschädigung. Es liege ein Fall von § 17 Abs. 2 lit. b VRG vor und es gehe nicht an, ihn nach einer einjährigen Wartezeit auch noch mit Anwaltskosten zu belasten.</w:t>
      </w:r>
    </w:p>
    <w:p>
      <w:r>
        <w:rPr>
          <w:b/>
        </w:rPr>
        <w:t>E. 5</w:t>
      </w:r>
    </w:p>
    <w:p>
      <w:r>
        <w:t>Parteientschädigungen sind im Verwaltungsverfahren die Ausnahme (§ 17 Abs. 1 und 2 VRG). Im Verwaltungsrechtspflegeverfahren ist eine Entschädigung nur mit Zurückhaltung zuzusprechen. Im Falle von § 17 Abs. 2 lit. a und lit. b VRG besteht jedoch ein Anspruch auf Prozessentschädigung und sie darf nur unter besonderen Umständen verweigert werden (Kölz/Bosshart/Röhl, Kommentar zum Verwaltungsrechtspflegegesetz, 2. Auflage, Zürich 1999, a.a.O., N. 5 zu § 17 VRG), wobei allerdings nur die notwendigen Rechtsverfolgungs- kosten zu ersetzen sind (Kölz/ Bosshart/Röhl, a.a.O., Rz 10 zu § 17 VRG). Für die Rechtfertigung einer anwaltlichen Vertretung wird auf die tatsächlichen und recht- lichen Schwierigkeiten des Falles hingewiesen, wobei die Bedeutung des Ent- scheides für den Betroffenen sowie die Tatsache zu berücksichtigen seien, dass der Private in der Regel einer versierten Behörde gegenüber stehe (Kölz/Boss- hart/Röhl, a.a.O., N. 11 zu § 17 VRG).</w:t>
      </w:r>
    </w:p>
    <w:p>
      <w:r>
        <w:t>Die Rechtslage war für die Vorinstanz nicht im Geringsten zweifelhaft; es ist davon auszugehen, dass der soeben erst mündig gewordene Beschwerdeführer, der die Anordnung einer Behörde in einer für ihn wichtigen Angelegenheit umstos- sen wollte, das nicht abschätzen konnte. Der Hinweis der Beschwerdegegnerin, dass es ihm – wenn er sich die Vermögensverwaltung zutraue – auch zuzumuten wäre, das bezirksrätliche Verfahren allein zu führen, überzeugt schon deshalb nicht, weil es ebenso gut umgedreht werden kann: wenn die Beschwerdegegnerin dem Beschwerdeführer die Vermögensverwaltung nicht zutraute, so kann sie sich nicht darüber beschweren, wenn er für ein Verfahren gegen eine Behörde anwalt- liche Unterstützung suchte. Insgesamt sind daher die Voraussetzungen zur Aus- richtung einer Prozessentschädigung im Sinne von § 17 Abs. 2 lit. b VRG gege- ben. Dass den Beschwerdeführer wegen des angeblich verspätet abgeschlosse- nen Liegenschaftsverwaltungsvertrages eine Art „Selbstverschulden“ träfe, ist nicht ersichtlich, und der Abschluss dieses Vertrages ist auch kein relevantes Eingeständnis für die Unterstützungsbedürftigkeit. Dass Ausgaben der öffent- lichen Hand weitestgehend aus Steuergeldern stammen, liegt in der Natur der Sache und spricht per se weder für noch gegen eine Ausgabe. Grundsätzlich ist der Beschwerdeführer daher durch die Beschwerdegegnerin zu entschädigen. Was das Quantitative anbelangt, hat der Beschwerdeführer vor Vorinstanz seine Tätigkeitsliste mit einem Honorar inkl. Spesen von Fr. 625.-- eingereicht; höhere Kosten hat er im vorinstanzlichen Verfahren nicht geltend gemacht. Mehrwertsteuer wurde vor Vorinstanz nicht verlangt, so dass sie auch nicht zu entschädigen ist. Insgesamt erscheint dieser Betrag als angemessen und die Beschwerdegegnerin ist entsprechend zu verpflichten. Die Beschwerde ist in diesem Sinne gutzuheissen. Obergericht, II. Zivilkammer Urteil vom 18. April 2012 Geschäfts-Nr.: PQ120004-O/U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