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PP250022 vom 16. Juni 2025</w:t>
      </w:r>
    </w:p>
    <w:p>
      <w:r>
        <w:t>ZH Obergericht, 2025-06-16, DE</w:t>
      </w:r>
    </w:p>
    <w:p>
      <w:r>
        <w:rPr>
          <w:b/>
        </w:rPr>
        <w:t xml:space="preserve">Quelle: </w:t>
      </w:r>
      <w:r>
        <w:t>https://mcp.opencaselaw.ch/entscheid/zh_obergericht_PP250022</w:t>
      </w:r>
    </w:p>
    <w:p>
      <w:r>
        <w:t>FR: ZH_OBERGERICHT PP250022 du 16 juin 2025</w:t>
      </w:r>
    </w:p>
    <w:p>
      <w:r>
        <w:t>IT: ZH_OBERGERICHT PP250022 del 16 giugno 2025</w:t>
      </w:r>
    </w:p>
    <w:p>
      <w:pPr>
        <w:pStyle w:val="Heading2"/>
      </w:pPr>
      <w:r>
        <w:t>Erwägungen</w:t>
      </w:r>
    </w:p>
    <w:p>
      <w:r>
        <w:rPr>
          <w:b/>
        </w:rPr>
        <w:t>E. 5</w:t>
      </w:r>
    </w:p>
    <w:p>
      <w:r>
        <w:t>Mai 2025 setzte die Vorinstanz der Beschwerdegegnerin Frist zur Leistung eines Kostenvorschusses an (Dispositiv-Ziff. 1, act. 7/5 = act. 3 = act. 6, Aktenex- emplar). 1.2. Dagegen erhob der Beschwerdeführer mit Eingabe vom 23. Mai 2025 (Postaufgabe gleichentags) fristgerecht (vgl. act. 7/6/2, act. 5) Beschwerde bei der hiesigen Kammer. Er ersucht um Aufhebung der angefochtenen Verfügung, um Unwirksamkeits- und Nichtigkeitserklärung der Klagebewilligung, um Ab- schreibung des Verfahrens und eventualiter um Wiederholung des Schlichtungs- verfahrens, unter Kostenfolgen zulasten der Beschwerdegegnerin (act. 2 S. 1). 1.3. Die vorinstanzlichen Akten wurden beigezogen (act. 7/1 – 9). Da sich die Beschwerde sogleich als unzulässig erweist (vgl. E. 2.), kann auf die Einholung einer Beschwerdeantwort verzichtet werden (Art. 322 Abs. 1 ZPO). Der Be- schwerdegegnerin ist mit dem vorliegenden Beschluss das Doppel der Beschwer- deschrift sowie der Beweismittel zuzustellen. Das Verfahren ist spruchreif. 2. Auf das von einer Partei ergriffene Rechtsmittel kann nur dann eingetreten werden, wenn die Partei durch den angefochtenen Entscheid beschwert ist (DIKE ZPO-SCHWENDENER, 3. Aufl. 2025, Vor Art. 308 – 334 N 95). Das Erfordernis der Beschwer hat die Wirkung, dass nur derjenige zur Erhebung eines Rechtsmittels befugt ist, welcher ein (von der Rechtsordnung geschütztes, d.h. ein schutzwürdi- ges) Interesse (tatsächlicher oder rechtlicher Natur) an der Abänderung des ange- fochtenen Entscheids besitzt (ZK ZPO-REETZ, 4. Aufl. 2025, Vor. Art. 308 – 318 N 29 m.V.a. BGE 120 II 5 E. 2.a). Mit der Verfügung vom 5. Mai 2025 setzte die Vorinstanz der Beschwerdegegnerin Frist zur Leistung eines Kostenvorschusses an (act. 6). Damit wurde keine Anordnung getroffen, welche sich an den Be- schwerdeführer richtet. Es ist daher weder ersichtlich, noch hat der Beschwerde-</w:t>
      </w:r>
    </w:p>
    <w:p>
      <w:r>
        <w:t>- 3 - führer dargelegt, inwiefern er ein schutzwürdiges Interesse an der Aufhebung der Verfügung haben könnte. Er macht vielmehr Ausführungen zu den Prozessvor- aussetzungen der von der Beschwerdegegnerin erhobenen Klage. Über die damit zusammenhängenden Fragestellungen wurde aber mit der angefochtenen Verfü- gung gar nicht entschieden. Dem Beschwerdeführer steht es frei, diese Vorbrin- gen im erstinstanzlichen Verfahren vorzubringen. Auf die Beschwerde ist daher mangels Beschwer nicht einzutreten. 3.1. Ausgangsgemäss sind die Kosten des Beschwerdeverfahrens dem Be- schwerdeführer aufzuerlegen (Art. 106 Abs. 1 ZPO). In Anwendung von § 12 Abs. 1 und 2 sowie § 4 Abs. 1 und 2 und § 10 Abs. 1 GebV OG ist die zweitin- stanzliche Entscheidgebühr auf Fr. 250.– festzusetzen. 3.2. Für das Beschwerdeverfahren sind keine Parteientschädigungen zuzuspre- chen: Dem Beschwerdeführer nicht, weil er unterliegt, und der Beschwerdegegne- rin nicht, weil ihr keine zu entschädigenden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