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PP250017 vom 22. Mai 2025</w:t>
      </w:r>
    </w:p>
    <w:p>
      <w:r>
        <w:t>ZH Obergericht, 2025-05-22, DE</w:t>
      </w:r>
    </w:p>
    <w:p>
      <w:r>
        <w:rPr>
          <w:b/>
        </w:rPr>
        <w:t xml:space="preserve">Quelle: </w:t>
      </w:r>
      <w:r>
        <w:t>https://mcp.opencaselaw.ch/entscheid/zh_obergericht_PP250017</w:t>
      </w:r>
    </w:p>
    <w:p>
      <w:r>
        <w:t>FR: ZH_OBERGERICHT PP250017 du 22 mai 2025</w:t>
      </w:r>
    </w:p>
    <w:p>
      <w:r>
        <w:t>IT: ZH_OBERGERICHT PP250017 del 22 maggio 2025</w:t>
      </w:r>
    </w:p>
    <w:p>
      <w:pPr>
        <w:pStyle w:val="Heading2"/>
      </w:pPr>
      <w:r>
        <w:t>Erwägungen</w:t>
      </w:r>
    </w:p>
    <w:p>
      <w:r>
        <w:rPr>
          <w:b/>
        </w:rPr>
        <w:t>E. 1</w:t>
      </w:r>
    </w:p>
    <w:p>
      <w:r>
        <w:t>Am 12. November 2024 (Datum Poststempel) erhob die Klägerin und Beru- fungsklägerin (fortan Klägerin) beim Bezirksgericht Horgen (Vorinstanz) eine Kla- ge betreffend Feststellung des Nichtbestehens einer Schuld nach Art. 85a SchKG, bezogen auf die Betreibungen-Nr. 1, Nr. 2, Nr. 3, Nr. 4, Nr. 5, Nr. 6 und Nr. 7 (act. 6/1). Mit Verfügung vom 10. Dezember 2024 setzte die Vorinstanz der Klägerin Frist an zur Leistung eines Kostenvorschusses sowie zur Einreichung sämtlicher Zahlungsbefehle und weiterer Dokumente betreffend den Stand der Betreibungen (act. 6/3). Der Kostenvorschuss ging rechtzeitig ein (act. 6/5). Mit Eingabe vom 23. Dezember 2024 (Datum Poststempel) erklärte die Klägerin, die vorläufige Einstellung der Betreibungen nach Art. 85a Abs. 2 SchKG zu verlangen (act. 6/6). Sie reichte zudem jeweils die erste Seite der Zahlungsbefehle und drei Abrechnungen des Betreibungsamtes Wädenswil ein (act. 6/7/1/10). Die Vorin- stanz zog in der Folge die Zahlungsbefehle vom Betreibungsamt Wädenswil bei (act. 6/9-11). Mit Verfügung vom 24. Januar 2025 ordnete die Vorinstanz für den Verfahrensabschnitt der vorsorglichen Massnahmen (Art. 85a Abs. 2 SchKG) das schriftliche Verfahren an und setzte den Beklagten und Berufungsbeklagten (fortan Beklagte) eine Frist an, um zum Erlass vorsorglicher Massnahmen (einst- weilige Einstellung der Betreibungen) sowie zur Klage im Hauptverfahren Stellung zu nehmen (act. 6/12). Die Beklagten reichten am 30. sowie 31. Januar 2025 und am 5. Februar 2025 ihre Stellungnahmen bzw. Klageantworten ein (act. 6/14-19). Die Klägerin äusserte sich zu diesen mit Eingabe vom 5. März 2025 (Datum Post- stempel; act. 6/23-26). Mit Verfügung vom 26. März 2025 wies die Vorinstanz das Gesuch der Klägerin um vorläufige Einstellung der Betreibungen-Nr. 1, Nr. 2, Nr. 3, Nr. 4, Nr. 5, Nr. 6 und Nr. 7 ab, soweit sie darauf eintrat. Sie hielt fest, die Betreibungen würden nicht vorläufig eingestellt (act. 6/27 = act. 5 S. 6 f.).</w:t>
      </w:r>
    </w:p>
    <w:p>
      <w:r>
        <w:rPr>
          <w:b/>
        </w:rPr>
        <w:t>E. 2</w:t>
      </w:r>
    </w:p>
    <w:p>
      <w:r>
        <w:t>Gegen die vorinstanzliche Verfügung vom 26. März 2025 erhob die Klägerin mit Eingabe vom 10. April 2025 (Datum Poststempel) "Beschwerde" bei der Kam- mer (act. 2-3). Die Akten der Vorinstanz wurden beigezogen (act. 6/1-31). Mit Schreiben vom 22. April 2025 wurde den Parteien Mitteilung vom Rechtsmittelein-</w:t>
      </w:r>
    </w:p>
    <w:p>
      <w:r>
        <w:t>- 3 - gang gemacht (act. 7/1-4). Auf Weiterungen ist zu verzichten (vgl. Art. 322 Abs. 1 ZPO); das Verfahren erweist sich sogleich als spruchreif. 3.1. Nach Eingang einer Klage oder eines Rechtsmittels prüft das Gericht zu- nächst von Amtes wegen, ob die Prozess- bzw. Rechtsmittelvoraussetzungen er- füllt sind. Dazu gehört u.a. die Einhaltung der gesetzlichen Rechtsmittelfrist. Beim Entscheid über die vorläufige Einstellung der Betreibung handelt es sich um einen Entscheid über eine vorsorgliche Massnahme, der im summarischen Verfahren ergeht (vgl. Art. 248 lit. d ZPO; vgl. dazu OGer ZH NE230004 vom 30. November 2023 E. IV./1.2 und auch OGer ZH NP190029 vom 13. Mai 2020 E. II./2.). Entgegen den vorinstanzlichen Erwägungen und der Rechtsmittelbelehrung (act. 5 S. 6 Erw. 8. und S. 7, Dispositiv-Ziffer 4) wäre gegen die vorinstanzliche Verfügung vom 26. März 2025 das Rechtsmittel der Berufung zu ergreifen gewe- sen, da es sich um ein Entscheid über vorsorgliche Massnahmen mit einem Streitwert von über Fr. 10'000.00 handelt (Art. 308 Abs. 1 lit. b und Abs. 2 i.V.m. Art. 319 lit. a ZPO; vgl. zum Streitwert act. 6/1 S. 2, act. 6/3 S. 2 Erw. 2 sowie act. 6/11/1-7). Gemäss konstanter Praxis der Kammer sind unrichtig bezeichnete Rechtsmittel ohne Weiteres mit dem richtigen Namen und nach den richtigen Re- geln zu behandeln (OGer ZH NE220002 vom 6. September 2022 E. 2.1; OGer ZH PF110004 vom 9. März 2011 E. 5.2). Entsprechend ist die Eingabe der Klägerin vom 10. April 2025 (act. 3) als Berufung entgegenzunehmen. Gegen einen im summarischen Verfahren ergangenen Entscheid – wie derjenige der Vorinstanz – beträgt die Frist zur Erhebung eines Rechtsmittels 10 Tage (Art. 314 Abs. 1 ZPO für die Berufung wie auch Art. 321 Abs. 2 ZPO für die Beschwerde). Die Rechts- mittelfrist wurde von der Vorinstanz in der Rechtsmittelbelehrung somit korrekt an- gegeben (act. 5 S. 7, Dispositiv-Ziffer 4). Bei der Rechtsmittelfrist handelt sich um eine gesetzliche Frist. Gesetzliche Fristen sind solche, deren Dauer das Gesetz unabänderlich festlegt (vgl. Art. 144 Abs. 1 ZPO; ZK ZPO II-Freiburghaus/Afheldt,</w:t>
      </w:r>
    </w:p>
    <w:p>
      <w:r>
        <w:rPr>
          <w:b/>
        </w:rPr>
        <w:t>E. 4</w:t>
      </w:r>
    </w:p>
    <w:p>
      <w:r>
        <w:t>Die Kosten des Berufungsverfahrens sind entsprechend dem Verfahrensausgang der Klägerin aufzuerlegen (Art. 106 Abs. 1 ZPO). Ausgehend vom Streitwert von rund Fr. 14'500.00 (vgl. act. 6/3 S. 2) und unter Berücksichtigung des Zeitauf- wands sowie der summarischen Natur des Verfahrens ist die Gerichtsgebühr auf Fr. 600.00 festzusetzen (§ 12 Abs. 1 und 2 i.V.m. § 4 Abs. 1 und 2 sowie § 8 Abs. 1 GebV OG). Parteientschädigungen sind keine zuzusprechen: Der Klägerin nicht, weil sie unterliegt, den Beklagten nicht, weil ihnen im Berufungsverfahren keine zu entschädigenden Umtriebe entstanden sind (Art. 106 Abs. 1 ZPO;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