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PP250016 vom 17. April 2025</w:t>
      </w:r>
    </w:p>
    <w:p>
      <w:r>
        <w:t>ZH Obergericht, 2025-04-17, DE</w:t>
      </w:r>
    </w:p>
    <w:p>
      <w:r>
        <w:rPr>
          <w:b/>
        </w:rPr>
        <w:t xml:space="preserve">Quelle: </w:t>
      </w:r>
      <w:r>
        <w:t>https://mcp.opencaselaw.ch/entscheid/zh_obergericht_PP250016</w:t>
      </w:r>
    </w:p>
    <w:p>
      <w:r>
        <w:t>FR: ZH_OBERGERICHT PP250016 du 17 avril 2025</w:t>
      </w:r>
    </w:p>
    <w:p>
      <w:r>
        <w:t>IT: ZH_OBERGERICHT PP250016 del 17 aprile 2025</w:t>
      </w:r>
    </w:p>
    <w:p>
      <w:pPr>
        <w:pStyle w:val="Heading2"/>
      </w:pPr>
      <w:r>
        <w:t>Erwägungen</w:t>
      </w:r>
    </w:p>
    <w:p>
      <w:r>
        <w:rPr>
          <w:b/>
        </w:rPr>
        <w:t>E. 21</w:t>
      </w:r>
    </w:p>
    <w:p>
      <w:r>
        <w:t>Februar 2024 (Urk. 6/45) die hier angefochtene Berichtigungsverfügung vom 31. März 2025 (Urk. 2). Dabei gelangte sie zur Auffassung, dass gegen die Berich- tigungsverfügung die Beschwerde i.S.v. Art. 334 Abs. 3 ZPO offen stehe (Urk. 2 S. 3). 3.2. Gemäss Art. 334 Abs. 3 ZPO kann der Entscheid über ein Erläuterungs- oder Berichtigungsgesuch mit Beschwerde angefochten werden. Diese steht den Parteien jedoch grundsätzlich nur gegen einen erstinstanzlichen Abweisungs- oder Nichteintretensentscheid offen. Eine Gutheissung des Gesuchs hat dagegen einen neuen Entscheid zur Folge, welcher wiederum mit dem in der Sache zutreffenden Hauptrechtsmittel anzufechten ist. Dabei können nur noch diejenigen Punkte ange- fochten werden, die Gegenstand der Erläuterung oder Berichtigung bilden (BGE 143 III 520 E. 6.3; OFK ZPO-Gehri, Art. 334 N 5). Die grundsätzliche Gut- heissung des Gesuchs in Form eines selbständigen Zwischenentscheids ist dage- gen undenkbar (BK ZPO-Sterchi, Art. 334 N 12). Entgegen den vorinstanzlichen Erwägungen steht gegen die Gutheissung des Berichtigungsgesuchs als solche demnach kein Rechtsmittel zur Verfügung; dieses ist vielmehr gegen den berich- tigten Entscheid zu erheben (vgl. BGE 143 III 520 E. 6.4). Auf die vorliegende Be- schwerde ist folglich nicht einzutreten. Im Übrigen erweisen sich die Beschwerde- anträge des Klägers als ungenügend. Sie erschöpfen sich in prozessualen Begeh- ren und enthalten – auch implizit – keine Anträge in der Sache selbst. 3.3. Die parallel dazu erhobene Berufung vom 8. April 2025 (Poststempel: 9. April 2025) gegen das berichtigte Urteil vom 21. Februar 2024 (Urk. 1 im Verfah- ren NP250009-O) wird von diesem Entscheid nicht tangiert. 4. Da die Beschwerdeerhebung durch die Rechtsmittelbelehrung der Vorin- stanz bei Gutheissung eines Berichtigungsgesuchs veranlasst wurde, rechtfertigt</w:t>
      </w:r>
    </w:p>
    <w:p>
      <w:r>
        <w:t>- 4 - es sich, im Beschwerdeverfahren von der Erhebung von Gerichtskosten abzuse- hen. Ferner sind keine Parteientschädigungen zuzusprechen, dem Beklagten man- gels wesentlicher Umtriebe und dem Kläger zufolge seines Unterliegens (vgl.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