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PP250014 vom 3. November 2025</w:t>
      </w:r>
    </w:p>
    <w:p>
      <w:r>
        <w:t>ZH Obergericht, 2025-11-03, DE</w:t>
      </w:r>
    </w:p>
    <w:p>
      <w:r>
        <w:rPr>
          <w:b/>
        </w:rPr>
        <w:t xml:space="preserve">Quelle: </w:t>
      </w:r>
      <w:r>
        <w:t>https://mcp.opencaselaw.ch/entscheid/zh_obergericht_PP250014</w:t>
      </w:r>
    </w:p>
    <w:p>
      <w:r>
        <w:t>FR: ZH_OBERGERICHT PP250014 du 3 novembre 2025</w:t>
      </w:r>
    </w:p>
    <w:p>
      <w:r>
        <w:t>IT: ZH_OBERGERICHT PP250014 del 3 novembre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Zwischen den Parteien bestand zumindest in der Vergangenheit eine Bank-/Kundenbeziehung (act. 5 E. III/3.2.2). Unter Berufung auf dieses Verhältnis machten die Kläger und Beschwerdeführer (fortan: Beschwerdeführer) mit Einga- be vom 25. Oktober 2022 (act. 6/2; gleichentags elektronisch eingegangen, act. 6/5; samt Beilagen, act. 6/1, act. 6/3 und act. 6/4/1–5) beim Einzelgericht des Bezirksgerichts Zürich (fortan: Vorinstanz) eine Stufenklage gegen die Beklagte und Beschwerdegegnerin (fortan: Beschwerdegegnerin) anhängig, wobei sie fol- gende Rechtsbegehren stellten (vgl. act. 6/2 S. 2): "1. Es sei die Beklagte zu verpflichten, dem Kläger 1 und der Klägerin 2 Auskunft zu erteilen und Rechenschaft abzulegen über sämtliche Retrozessionen, Ver- waltungs-, Vermittlungs-, Halte- und/oder Bestandespflege-Kommissionen, Vertriebsentschädigungen, Provisionen, Finders' Fees, Kick-Backs und/oder andere/weitere geldwerte Vorteile, welche die Beklagte im Zusammenhang mit ihrer Geschäftsbeziehung zum Kläger 1 und der Klägerin 2 seit 30. August 2012 erhalten und vereinnahmt hat (zwecks Verzugszinsberechnung ausser- dem aufgegliedert nach Jahr/Monat).</w:t>
      </w:r>
    </w:p>
    <w:p>
      <w:r>
        <w:rPr>
          <w:b/>
        </w:rPr>
        <w:t>E. 1.2</w:t>
      </w:r>
    </w:p>
    <w:p>
      <w:r>
        <w:t>Nach Durchführung des ersten Schriftenwechsels beschränkte die Vorin- stanz das Verfahren mit Verfügung vom 11. Oktober 2023 einstweilen auf die Fra- gen der sachlichen Zuständigkeit sowie der Passivlegitimation der Beschwerde- gegnerin (act. 6/29). Es folgten weitere Stellungnahmen der Parteien, woraufhin die Vorinstanz mit Verfügung vom 27. Februar 2025 folgenden Zwischenent- scheid fällte (act. 6/55 = act. 3 = act. 5 [Aktenexemplar]; den Beschwerdeführern zugestellt am 19. März 2025, act. 6/56):</w:t>
      </w:r>
    </w:p>
    <w:p>
      <w:r>
        <w:rPr>
          <w:b/>
        </w:rPr>
        <w:t>E. 2</w:t>
      </w:r>
    </w:p>
    <w:p>
      <w:r>
        <w:t>Nach Auskunftserteilung und Rechenschaftsablage gemäss Rechtsbegehren Ziff. 1 hiervor sei die Beklagte zu verpflichten, dem Kläger 1 und der Klägerin 2 die offengelegte Summe Geldes zu bezahlen, mindestens jedoch CHF 8'700.– zzgl. 5% Verzugszinse seit dem Datum des jeweiligen Eingangs der jeweiligen Teilsummen Geldes bei der Beklagten. Alles unter Kosten- und Entschädigungsfolgen (zzgl. Kosten des Schlichtungsver- fahrens von CHF 420.– sowie zzgl. 7.7% MWST) zulasten der Beklagten."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