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PP250013 vom 16. Juni 2025</w:t>
      </w:r>
    </w:p>
    <w:p>
      <w:r>
        <w:t>ZH Obergericht, 2025-06-16, DE</w:t>
      </w:r>
    </w:p>
    <w:p>
      <w:r>
        <w:rPr>
          <w:b/>
        </w:rPr>
        <w:t xml:space="preserve">Quelle: </w:t>
      </w:r>
      <w:r>
        <w:t>https://mcp.opencaselaw.ch/entscheid/zh_obergericht_PP250013</w:t>
      </w:r>
    </w:p>
    <w:p>
      <w:r>
        <w:t>FR: ZH_OBERGERICHT PP250013 du 16 juin 2025</w:t>
      </w:r>
    </w:p>
    <w:p>
      <w:r>
        <w:t>IT: ZH_OBERGERICHT PP250013 del 16 giugno 2025</w:t>
      </w:r>
    </w:p>
    <w:p>
      <w:pPr>
        <w:pStyle w:val="Heading2"/>
      </w:pPr>
      <w:r>
        <w:t>Erwägungen</w:t>
      </w:r>
    </w:p>
    <w:p>
      <w:r>
        <w:rPr>
          <w:b/>
        </w:rPr>
        <w:t>E. 18</w:t>
      </w:r>
    </w:p>
    <w:p>
      <w:r>
        <w:t>Februar 2025 noch nicht rechtskräftig sei, weil die Klägerin anlässlich der Ver- handlung vom 11. März 2025 habe verlauten lassen, sie werde dagegen eine Be- schwerde beim BAKOM erheben, setzte sie sich nicht auseinander. Inwiefern die Verfügung vom 11. März 2025 nichtig sein soll, erhellt nicht, und es sind auch keine Nichtigkeitsgründe ersichtlich. Auf die weiteren ausschweifenden Vorbringen der Klägerin (weitere Nichtigkeits- gründe, fehlende Vertretungsmacht der für die Beklagte handelnden Personen, Rechtsmissbrauch etc.) ist nicht einzugehen, da diese sich nicht gegen die Sistie- rungsverfügung richten. Nach dem Gesagten ist auf die Beschwerde der Klägerin nicht einzutreten. 5.1 Die Entscheidgebühr für das Beschwerdeverfahren ist ausgehend von einem Streitwert von Fr. 1'545.– in Anwendung von § 12 Abs. 1 und Abs. 2 i.V.m. § 4 Abs. 1 GebV OG auf Fr. 360.– festzusetzen. Die Gerichtskosten sind ausgangsge- mäss der Klägerin aufzuerlegen (Art. 106 Abs. 1 ZPO) und mit dem von ihr geleis- teten Kostenvorschuss in derselben Höhe (Urk. 8) zu verrechnen. 5.2 Für das zweitinstanzliche Verfahren sind keine Parteientschädigungen zuzu- sprechen, der Klägerin zufolge ihres Unterliegens (Art. 106 Abs. 1 ZPO) und der Beklagten mangels relevanter Umtriebe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