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PP240034 vom 11. September 2024</w:t>
      </w:r>
    </w:p>
    <w:p>
      <w:r>
        <w:t>ZH Obergericht, 2024-09-11, DE</w:t>
      </w:r>
    </w:p>
    <w:p>
      <w:r>
        <w:rPr>
          <w:b/>
        </w:rPr>
        <w:t xml:space="preserve">Quelle: </w:t>
      </w:r>
      <w:r>
        <w:t>https://mcp.opencaselaw.ch/entscheid/zh_obergericht_PP240034</w:t>
      </w:r>
    </w:p>
    <w:p>
      <w:r>
        <w:t>FR: ZH_OBERGERICHT PP240034 du 11 septembre 2024</w:t>
      </w:r>
    </w:p>
    <w:p>
      <w:r>
        <w:t>IT: ZH_OBERGERICHT PP240034 del 11 settembre 2024</w:t>
      </w:r>
    </w:p>
    <w:p>
      <w:pPr>
        <w:pStyle w:val="Heading2"/>
      </w:pPr>
      <w:r>
        <w:t>Erwägungen</w:t>
      </w:r>
    </w:p>
    <w:p>
      <w:r>
        <w:rPr>
          <w:b/>
        </w:rPr>
        <w:t>E. 1</w:t>
      </w:r>
    </w:p>
    <w:p>
      <w:r>
        <w:t>Das Verfahren vor dem Einzelgericht des Bezirksgerichts Winterthur im vereinfachten Verfahren wird an das Kollegialgericht im ordentlichen Ver- fahren überwiesen und das Verfahren beim Einzelgericht unter der vor- liegenden Geschäftsnummer als dadurch erledigt abgeschrieben. Die Akten gehen zur Beurteilung der Haupt- und negativen Feststellungswi- derklage an das Kollegialgericht.</w:t>
      </w:r>
    </w:p>
    <w:p>
      <w:r>
        <w:rPr>
          <w:b/>
        </w:rPr>
        <w:t>E. 2</w:t>
      </w:r>
    </w:p>
    <w:p>
      <w:r>
        <w:t>Für diesen Entscheid werden keine separaten Kosten erhoben.</w:t>
      </w:r>
    </w:p>
    <w:p>
      <w:r>
        <w:rPr>
          <w:b/>
        </w:rPr>
        <w:t>E. 3</w:t>
      </w:r>
    </w:p>
    <w:p>
      <w:r>
        <w:t>[Schriftliche Mitteilungen]</w:t>
      </w:r>
    </w:p>
    <w:p>
      <w:r>
        <w:rPr>
          <w:b/>
        </w:rPr>
        <w:t>E. 4</w:t>
      </w:r>
    </w:p>
    <w:p>
      <w:r>
        <w:t>Für das Beschwerdeverfahren werden keine Parteientschädigungen zuge- sprochen.</w:t>
      </w:r>
    </w:p>
    <w:p>
      <w:r>
        <w:rPr>
          <w:b/>
        </w:rPr>
        <w:t>E. 5</w:t>
      </w:r>
    </w:p>
    <w:p>
      <w:r>
        <w:t>Schriftliche Mitteilung an die Parteien, an den Beklagten unter Beilage der Doppel von Urk. 33, 33A und 35, sowie an die Vorinstanz, je gegen Emp- fangsschein. Die vorinstanzlichen Akten gehen nach unbenütztem Ablauf der Rechtsmittel- 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 mögensrechtliche Angelegenheit. Der Streitwert übersteigt Fr. 30'000.--. Die Beschwerde an das Bundesgericht hat keine aufschiebende Wirkung. Hinsichtlich des Fristenlaufs gelten die Art. 44 ff. BGG. Zürich, 11. September 2024 Obergericht des Kantons Zürich I. Zivilkammer Der Gerichtsschreiber: lic. iur. F. Rieke versandt am: ib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