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PP240026 vom 1. Oktober 2024</w:t>
      </w:r>
    </w:p>
    <w:p>
      <w:r>
        <w:t>ZH Obergericht, 2024-10-01, DE</w:t>
      </w:r>
    </w:p>
    <w:p>
      <w:r>
        <w:rPr>
          <w:b/>
        </w:rPr>
        <w:t xml:space="preserve">Quelle: </w:t>
      </w:r>
      <w:r>
        <w:t>https://mcp.opencaselaw.ch/entscheid/zh_obergericht_PP240026</w:t>
      </w:r>
    </w:p>
    <w:p>
      <w:r>
        <w:t>FR: ZH_OBERGERICHT PP240026 du 1 octobre 2024</w:t>
      </w:r>
    </w:p>
    <w:p>
      <w:r>
        <w:t>IT: ZH_OBERGERICHT PP240026 del 1 ottobre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Die Parteien standen vor Erstinstanz in einem Verfahren betreffend Kontakt- und Rayonverbot etc. Mit Verfügung vom 28. September 2023 wurde der Beklagten und Beschwerdeführerin (fortan Beklagte) Rechtsanwalt lic. iur. X._____ als notwendiger Vertreter im Sinne von Art. 69 ZPO bestellt (Urk. 4/12). Mit Urteil vom 28. November 2023 fällte die Erstinstanz den Endentscheid (Urk. 4/34). Gleichentags verfügte sie, dass der Beklagten für das erstinstanzliche Ver- fahren die unentgeltliche Rechtspflege gewährt werde. Zudem bestellte sie ihr Rechtsanwalt lic. iur. X._____ als unentgeltlichen Rechtsbeistand (Urk. 4/34 S. 11). Sowohl das Urteil wie auch die Verfügung vom 28. November 2023 wurden für den Rechtsvertreter der Beklagten am 23. April 2024 in Empfang genommen (vgl. Urk. 4/35/1). Mit Eingabe vom 13. Mai 2024 beantragte Rechtsanwalt lic. iur. X._____ in der Folge bei der Vorinstanz die Zusprechung eines Honorars von gesamthaft Fr. 2'342.65 (inkl. Barauslagen und Mehrwertsteuer; Urk. 4/36 f.). Mit Verfügung vom 15. Mai 2024 entschied die Vorinstanz das Folgende (Urk. 2 S. 3 = Urk. 4/38 S. 3): "1. Der unentgeltliche Rechtsbeistand Rechtsanwalt lic. iur. X._____ wird für seine Bemühungen und Barauslagen als unentgeltlicher Rechtsvertreter der Beklagten aus der Gerichtskasse wie folgt ent- schädigt: Honorar CHF 2'145.00 Barauslagen CHF 30.20 Zwischentotal CHF 2'175.20 MwSt. CHF 167.45 Entschädigung Total CHF 2'342.65</w:t>
      </w:r>
    </w:p>
    <w:p>
      <w:r>
        <w:rPr>
          <w:b/>
        </w:rPr>
        <w:t>E. 2</w:t>
      </w:r>
    </w:p>
    <w:p>
      <w:r>
        <w:t>Eine spätere Rückforderung des ausbezahlten Betrages bei der Beklagten gestützt auf Art. 123 ZPO bleibt vorbehalten.</w:t>
      </w:r>
    </w:p>
    <w:p>
      <w:r>
        <w:rPr>
          <w:b/>
        </w:rPr>
        <w:t>E. 3</w:t>
      </w:r>
    </w:p>
    <w:p>
      <w:r>
        <w:t>(Schriftliche Mitteilung.)</w:t>
      </w:r>
    </w:p>
    <w:p>
      <w:r>
        <w:rPr>
          <w:b/>
        </w:rPr>
        <w:t>E. 4</w:t>
      </w:r>
    </w:p>
    <w:p>
      <w:r>
        <w:t>a) Die beschwerdeführende Partei hat im Einzelnen darzulegen, an wel- chen Mängeln (unrichtige Rechtsanwendung, offensichtlich unrichtige Feststel- lung des Sachverhalts; Art. 320 ZPO) der angefochtene Entscheid ihrer Ansicht</w:t>
      </w:r>
    </w:p>
    <w:p>
      <w:r>
        <w:t>- 5 - nach leidet (ZK ZPO-Freiburghaus/Afheldt, Art. 321 N 15). Unerlässlich ist, dass die Beschwerde auf die Begründung des angefochtenen Entscheids eingeht. Die beschwerdeführende Partei soll in der Beschwerdeschrift nicht bloss die Stand- punkte, die sie im vorinstanzlichen Verfahren eingenommen hat, erneut bekräfti- gen, sondern mit ihrer Kritik an den als fehlerhaft erachteten Erwägungen der Vor- instanz ansetzen (BGer 5A_580/2021 vom 21. April 2022, E. 3.3 m.w.H.). Erfüllt die Beschwerde grundlegende Inhaltsanforderungen nicht, fehlt es an einer Eintretensvoraussetzung und die Rechtsmittelinstanz hat darauf nicht einzu- treten. Inhaltliche Nachbesserung der Begründung ist nach Ablauf der Beschwer- defrist nicht zulässig (BGer 5D_215/2015 vom 16. März 2016, E. 3.1 m.w.H.; BGer 5A_822/2022 vom 14. März 2023, E. 3.3.1 m.w.H.). b) Die Rechtsmittelschrift vom 24. Mai 2024 (Urk. 1) sowie die weiteren – nach Ablauf der Beschwerdefrist (Art. 321 Abs. 2 ZPO) und nicht rechtskonform erfolgten (vgl. Art. 130 Abs. 2 ZPO) – Eingaben der Beklagten mittels E-Mail (Urk. 6-8, Urk. 10) genügen den genannten Anforderungen nicht. Die Beklagte setzt sich darin mit den Erwägungen der Vorinstanz in der angefochtenen Verfü- gung nicht auseinander. Sie unterlässt es demnach auch, sich zu den vorinstanz- lichen Erwägungen zu äussern, dass die Gebühr nach Zeitaufwand für unentgeltli- che Rechtsvertretungen in der Regel Fr. 220.– pro Stunde betrage und die Hono- rarnote von Rechtsanwalt lic. iur. X._____ vom 13. Mai 2024 in Anbetracht des angefallenen Aufwands angemessen erscheine (Urk. 2 S. 2). Da somit von Seiten der Beklagten keine Auseinandersetzung mit der angefochtenen Verfügung er- folgte, ist auf ihre Beschwerde nicht einzutreten. Offenbleiben kann demnach auch, ob im Beschwerdeverfahren überhaupt von einem genügenden Antrag in der Sache ausgegangen werden kann.</w:t>
      </w:r>
    </w:p>
    <w:p>
      <w:r>
        <w:rPr>
          <w:b/>
        </w:rPr>
        <w:t>E. 5</w:t>
      </w:r>
    </w:p>
    <w:p>
      <w:r>
        <w:t>Für das Beschwerdeverfahren ist umständehalber auf die Erhebung von Gerichtskosten zu verzichten. Zudem sind keine Parteientschädigungen zuzuspre- chen (Art. 106 Abs. 1 ZPO, Art. 95 Abs. 3 ZPO).</w:t>
      </w:r>
    </w:p>
    <w:p>
      <w:r>
        <w:t>- 6 -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