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PP240011 vom 16. Mai 2024</w:t>
      </w:r>
    </w:p>
    <w:p>
      <w:r>
        <w:t>ZH Obergericht, 2024-05-16, DE</w:t>
      </w:r>
    </w:p>
    <w:p>
      <w:r>
        <w:rPr>
          <w:b/>
        </w:rPr>
        <w:t xml:space="preserve">Quelle: </w:t>
      </w:r>
      <w:r>
        <w:t>https://mcp.opencaselaw.ch/entscheid/zh_obergericht_PP240011</w:t>
      </w:r>
    </w:p>
    <w:p>
      <w:r>
        <w:t>FR: ZH_OBERGERICHT PP240011 du 16 mai 2024</w:t>
      </w:r>
    </w:p>
    <w:p>
      <w:r>
        <w:t>IT: ZH_OBERGERICHT PP240011 del 16 maggio 2024</w:t>
      </w:r>
    </w:p>
    <w:p>
      <w:pPr>
        <w:pStyle w:val="Heading2"/>
      </w:pPr>
      <w:r>
        <w:t>Erwägungen</w:t>
      </w:r>
    </w:p>
    <w:p>
      <w:r>
        <w:rPr>
          <w:b/>
        </w:rPr>
        <w:t>E. 1</w:t>
      </w:r>
    </w:p>
    <w:p>
      <w:r>
        <w:t>a) Die Beklagten haben die Klägerin am 9. Januar 2024 für eine Forde- rung in der Höhe von Fr. 19'510.60 zuzüglich Zins zu 4.5 % seit 9. Januar 2024 sowie den bisherigen Verzugszins betrieben. Als Forderungsurkunde wurde die Schlussrechnung für die Staats- und Gemeindesteuern 2018 vom 11. August 2023 angegeben (Betreibung Nr. …, Zahlungsbefehl des Betreibungsamtes Zü- rich 7 vom 9. Januar 2024, Urk. 6/2). Daraufhin machte die Klägerin und Be- schwerdeführerin (fortan Klägerin) bei der Vorinstanz mit Eingabe vom 7. März 2024 (Urk. 6/1) eine negative Feststellungsklage gemäss Art. 85a SchKG gegen die Beklagten und Beschwerdegegner (fortan Beklagte) anhängig. In der Folge wurde die Klägerin von der Vorinstanz mit Verfügung vom 15. März 2024 zur Leis- tung eines Kostenvorschusses in Höhe der mutmasslichen Gerichtskosten von Fr. 2'300.– aufgefordert (Urk. 6/4 = Urk. 2). b) Dagegen erhob die Klägerin mit Eingabe vom 15. April 2024 innert Frist (vgl. Urk. 6/5; Poststempel vom 15. April 2024; eingegangen am 16. April 2024) Beschwerde mit den folgenden Anträgen (Urk. 1 S. 1): "1 - Dispositiv 1 der Verfügung vom 15. März 2024 im Bezug auf FV240036 sei auf- zuheben und den Vorschuss sei von CHF2300 auf CHF1520 zu reduzieren.</w:t>
      </w:r>
    </w:p>
    <w:p>
      <w:r>
        <w:rPr>
          <w:b/>
        </w:rPr>
        <w:t>E. 2</w:t>
      </w:r>
    </w:p>
    <w:p>
      <w:r>
        <w:t>a) Das Gericht hat von Amtes wegen das Vorliegen der Prozessvor- aussetzungen zu prüfen (Art. 59 Abs. 1, Art. 60 ZPO). Nach Art. 59 Abs. 2 lit. a ZPO gehört zu den Prozessvoraussetzungen, dass die klagende oder gesuchstel- lende Partei ein schutzwürdiges Interesse hat. Als Prozessvoraussetzung muss das Rechtschutzinteresse bei Rechtshängigkeit des Prozesses vorhanden sein, damit auf die Klage eingetreten werden kann. Es muss aber auch im Zeitpunkt der Entscheidung noch aktuell sein. Dieses Erfordernis soll sicherstellen, dass</w:t>
      </w:r>
    </w:p>
    <w:p>
      <w:r>
        <w:t>- 3 - das Gericht konkrete und nicht bloss theoretische Fragen entscheidet. Im Rah- men des Rechtsmittelverfahrens entspricht das Rechtsschutzinteresse der Be- schwer, d.h. dass sich eine Gutheissung des Begehrens positiv auf die rechtliche Situation des Klägers respektive Gesuchstellers auswirkt und damit ein hinrei- chendes Interesse für die Beurteilung besteht. Entfällt das Rechtsschutzinteresse, ist das Verfahren als gegenstandslos abzuschreiben; fehlt das Interesse bereits bei Einreichung, so wird auf das Begehren nicht eingetreten (BGE 142 I 135 E. 1.3.1; BGE 136 III 497 E. 2.1 m.w.H.; BK ZPO-Zingg, Art. 59 N 32 ff. und Art. 60 N 53; Müller, DIKE-Komm-ZPO, Art. 59 N 22). b) Vorliegend verlangt die Klägerin die Überprüfung der Höhe des von der Vorinstanz festgesetzten Kostenvorschusses. Den Kostenvorschuss bezahlte sie bereits vor Erhebung der Beschwerde (vgl. Urk. 6/8-9). Inwiefern sie unter diesen Umständen ein Rechtsschutzinteresse an der Aufhebung und Änderung von Dis- positiv-Ziffer 1 der angefochtenen Verfügung und damit am vorliegenden Verfah- ren hat, legt die Klägerin nicht dar und ist nicht ersichtlich. Da der Klägerin schon zum Zeitpunkt der Beschwerdeeinreichung ein aktuelles Rechtsschutzinteresse fehlte, ist auf ihre offensichtlich unzulässige Beschwerde nicht einzutreten.</w:t>
      </w:r>
    </w:p>
    <w:p>
      <w:r>
        <w:rPr>
          <w:b/>
        </w:rPr>
        <w:t>E. 3</w:t>
      </w:r>
    </w:p>
    <w:p>
      <w:r>
        <w:t>a) Bei Nichteintreten gilt die klagende Partei bzw. die Partei, welche das Rechtsmittel erhoben hat, als unterliegend (vgl. Art. 106 Abs. 1 ZPO), weshalb der Klägerin die Gerichtskosten des Beschwerdeverfahrens aufzuerlegen sind. Die zweitinstanzliche Entscheidgebühr ist in Anwendung von § 9 Abs. 1 GebV OG i.V.m. § 12 Abs. 1 und 2 GebV OG auf Fr. 150.– festzusetzen. b) Für das Beschwerdeverfahren sind keine Parteientschädigungen zuzu- sprechen, der Klägerin zufolge ihres Unterliegens (Art. 106 Abs. 1 ZPO), den Be- klagten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