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PP240008 vom 12. April 2024</w:t>
      </w:r>
    </w:p>
    <w:p>
      <w:r>
        <w:t>ZH Obergericht, 2024-04-12, DE</w:t>
      </w:r>
    </w:p>
    <w:p>
      <w:r>
        <w:rPr>
          <w:b/>
        </w:rPr>
        <w:t xml:space="preserve">Quelle: </w:t>
      </w:r>
      <w:r>
        <w:t>https://mcp.opencaselaw.ch/entscheid/zh_obergericht_PP240008</w:t>
      </w:r>
    </w:p>
    <w:p>
      <w:r>
        <w:t>FR: ZH_OBERGERICHT PP240008 du 12 avril 2024</w:t>
      </w:r>
    </w:p>
    <w:p>
      <w:r>
        <w:t>IT: ZH_OBERGERICHT PP240008 del 12 aprile 2024</w:t>
      </w:r>
    </w:p>
    <w:p>
      <w:pPr>
        <w:pStyle w:val="Heading2"/>
      </w:pPr>
      <w:r>
        <w:t>Erwägungen</w:t>
      </w:r>
    </w:p>
    <w:p>
      <w:r>
        <w:rPr>
          <w:b/>
        </w:rPr>
        <w:t>E. 2</w:t>
      </w:r>
    </w:p>
    <w:p>
      <w:r>
        <w:t>Die Vorinstanz erwog zusammengefasst, das Vertragsverhältnis zwi- schen den Parteien weise sowohl werkvertragliche als auch mietrechtliche Ele- mente auf (Urk. 32 S. 3). Gemäss Art. 128 Ziff. 1 OR verjährten Mietzinsforderun- gen innert fünf Jahren, sofern die Mietzinse periodisch zu leisten seien. Für Forde- rungen aus Werkvertrag sei die fünfjährige Verjährungsfrist anwendbar, wenn die Voraussetzungen von Art. 128 Ziff. 3 OR vorlägen. Im vorliegenden Fall liege der Schwerpunkt des Vertragsverhältnisses zwischen den Parteien auf den werkver- traglichen Elementen, weshalb für die Frage der Verjährung die für den Werkver- trag geltenden Verjährungsbestimmungen Anwendung fänden. Die fünfjährige Ver- jährungsfrist nach Art. 128 Ziff. 3 OR gelange zur Anwendung, wenn 1) ein Werk- vertrag vorliege, 2) keine besonderen Technologien bei der Arbeit verwendet wor- den seien, 3) keine besonderen organisatorischen Massnahmen erforderlich seien und 4) sich die Forderung des Handwerkers gegen den Besteller aus seiner Arbeit richte (Urk. 32 S. 6). Im Zweifelsfall sei die Verjährungsfrist von Art. 127 OR anzu- wenden, insbesondere wenn das fragliche Werk mehr als eine Routinearbeit bzw.</w:t>
      </w:r>
    </w:p>
    <w:p>
      <w:r>
        <w:t>- 3 - ein schlichtes Alltagsgeschäft darstelle. Das Unternehmen des Klägers biete unter anderem einen 24-Stunden-Schlossöffnungsdienst, Schlossreparaturen und auch Montagen von Schliessanlagen an. Bei der geleisteten Tätigkeit des Klägers handle es sich um eine Arbeit gestützt auf einen Werkvertrag, welcher (recte wohl: welche) keine besondere Technologie und keine besonderen organisatorischen Massnah- men erfordere sowie von begrenztem Volumen sei. Gemäss der bundesgerichtli- chen Rechtsprechung handle es sich um eine Routinearbeit bzw. um ein schlichtes Alltagsgeschäft, weshalb die geleistete Arbeit als Handwerksarbeit i.S.v. Art. 128 Ziff. 3 OR zu qualifizieren sei. Es finde somit die Verjährungsfrist von fünf Jahren nach Art. 128 Ziff. 3 OR Anwendung. Die Verjährungsfrist habe mit Ablieferung des Werks zu laufen begonnen, vorliegend am 3. Juni 2014 mit dem Einbau des funk- tionstüchtigen Zylinderschlosses (Urk. 32 S. 7). Das Mietverhältnis sei ebenfalls am</w:t>
      </w:r>
    </w:p>
    <w:p>
      <w:r>
        <w:rPr>
          <w:b/>
        </w:rPr>
        <w:t>E. 3</w:t>
      </w:r>
    </w:p>
    <w:p>
      <w:r>
        <w:t>Juni 2014 zu laufen begonnen habe, bei Ausstellung des Zahlungsbefehls vom</w:t>
      </w:r>
    </w:p>
    <w:p>
      <w:r>
        <w:rPr>
          <w:b/>
        </w:rPr>
        <w:t>E. 6</w:t>
      </w:r>
    </w:p>
    <w:p>
      <w:r>
        <w:t>Die zweitinstanzliche Entscheidgebühr ist in Anwendung von § 12 Abs. 1 und 2 GebV OG in Verbindung mit § 4 Abs. 1 und 2 GebV OG und § 10 Abs. 1 GebV OG auf Fr. 500.– festzusetzen und ausgangsgemäss dem Kläger aufzuerle- gen (Art. 106 Abs. 1 ZPO). Parteientschädigungen sind keine zuzusprechen, dem Kläger aufgrund seines Unterliegens (Art. 106 Abs. 1 ZPO) und der Beklagten und Beschwerdegegnerin (fortan Beklagte) mangels Umtrieben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