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PP230051 vom 9. November 2023</w:t>
      </w:r>
    </w:p>
    <w:p>
      <w:r>
        <w:t>ZH Obergericht, 2023-11-09, DE</w:t>
      </w:r>
    </w:p>
    <w:p>
      <w:r>
        <w:rPr>
          <w:b/>
        </w:rPr>
        <w:t xml:space="preserve">Quelle: </w:t>
      </w:r>
      <w:r>
        <w:t>https://mcp.opencaselaw.ch/entscheid/zh_obergericht_PP230051</w:t>
      </w:r>
    </w:p>
    <w:p>
      <w:r>
        <w:t>FR: ZH_OBERGERICHT PP230051 du 9 novembre 2023</w:t>
      </w:r>
    </w:p>
    <w:p>
      <w:r>
        <w:t>IT: ZH_OBERGERICHT PP230051 del 9 novembre 2023</w:t>
      </w:r>
    </w:p>
    <w:p>
      <w:pPr>
        <w:pStyle w:val="Heading2"/>
      </w:pPr>
      <w:r>
        <w:t>Erwägungen</w:t>
      </w:r>
    </w:p>
    <w:p>
      <w:r>
        <w:rPr>
          <w:b/>
        </w:rPr>
        <w:t>E. 1</w:t>
      </w:r>
    </w:p>
    <w:p>
      <w:r>
        <w:t>a) Am 11. September 2023 reichte der Kläger beim Bezirksgericht Hinwil (Vorinstanz) eine Klage ein auf Feststellung, dass die vom Beklagten mit Betreibung Nr. … des Betreibungsamts Rüti ZH (Zahlungsbefehl vom 27. Juli 2023) betriebene Forderung von Fr. 496.50 nicht bestehe, und auf Aufhebung dieser Betreibung; sodann sei die Betreibung einstweilen einzustellen (Vi-Urk. 1). Mit Verfügung vom 12. September 2023 stellte die Vorinstanz superprovisorisch die Betreibung einstweilen ein (Vi-Urk. 3). Nach Eingang einer Stellungnahme des Beklagten vom 17. Oktober 2023 (Vi-Urk. 9) stellte die Vorinstanz mit Verfügung vom 19. Oktober die Betreibung für die weitere Dauer des Verfahrens ein und kündigte die Vorladung zur Hauptsache mit separatem Formular an (Vi-Urk. 11 = Urk. 2). b) Hiergegen erhob der Beklagte am 25. Oktober fristgerecht Beschwer- de und stellte die Beschwerdeanträge (Urk. 1): "1. Die Betreibung sei fortzusetzen in der verlangten Höhe inkl. Verzugs- zins.</w:t>
      </w:r>
    </w:p>
    <w:p>
      <w:r>
        <w:rPr>
          <w:b/>
        </w:rPr>
        <w:t>E. 2</w:t>
      </w:r>
    </w:p>
    <w:p>
      <w:r>
        <w:t>Sämtliche Kosten und Aufwände zu Lasten des Klägers.</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pauschale Verweisungen auf bei der Vorinstanz eingereichte Rechtsschriften oder eine blosse Darstellung der Sach- und Rechtslage aus eigener Sicht genügen nicht. Was nicht rechtsgenügend be- anstandet wird, braucht von der Beschwerdeinstanz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 b) Die Vorinstanz erwog im Wesentlichen, eine vorläufige Einstellung der Betreibung könne erfolgen, wenn die Klage sehr wahrscheinlich begründet sei. Der Kläger bringe vor, dass sich die Parteien allenfalls am 27. Juni 2023 an einer Autobahnraststätte zu einer Besprechung hätten treffen wollen, dieses Treffen nicht zustande gekommen sei und der vom Beklagten deswegen betriebene Zeit- und Fahrzeugaufwand von Fr. 496.50 bestritten werde. Der Beklagte mache gel- tend, dass die Parteien einen festen Termin vereinbart hätten, zu dem der Kläger</w:t>
      </w:r>
    </w:p>
    <w:p>
      <w:r>
        <w:t>- 4 - nicht erschienen sei und er als Beweis dafür Zeugen offerieren könne. Eine vor- läufige Einstellung der Betreibung sei eine vorsorgliche Massnahme und in die- sem Massnahmeverfahren sei der Beweis primär durch Urkunden zu erbringen; die Voraussetzungen für andere Beweismittel seien nicht erfüllt. Einen Urkunden- beweis über die Terminvereinbarung habe der Beklagte nicht erbringen können, weshalb für den vorliegenden Entscheid davon auszugehen sei, dass die Klage sehr wahrscheinlich begründet sei. Deshalb sei die superprovisorisch eingestellte Betreibung auch für die weitere Dauer des Verfahrens einzustellen (Urk. 2 S. 2-3). c) Der Beklagte macht in seiner Beschwerde zusammengefasst geltend, der Urkundenbeweis hinsichtlich Terminvereinbarung liege sehr wohl vor und sei mit seiner Stellungnahme vom 17. Oktober 2023 der Vorinstanz zugesandt wor- den. Die Terminvereinbarung über Whatsapp werde nochmals zugesandt; daraus sei klar ersichtlich, dass der Kläger Kenntnis über den Termin und die Konse- quenzen hinsichtlich Aufwandverrechnung bei nicht abgemeldetem Termin gehabt habe. Somit sei die Klage nicht sehr wahrscheinlich begründet (Urk. 1). d) Die mit der Beschwerde eingereichten Bilder von Whatsapp- Nachrichten wurden im vorinstanzlichen Verfahren nicht eingereicht (vgl. Vi- Urk. 10/1-2) und der Beklagte hat in seiner Stellungnahme vom 17. Oktober 2023 auch nicht auf solche verwiesen (vgl. Vi-Urk. 9). Im Beschwerdeverfahren ist nun aber die Einreichung neuer Beweismittel nicht zulässig (Art. 326 Abs. 1 ZPO; vgl. oben Erwägung 3.a), weshalb die Bilder der Whatsapp-Nachrichten nicht berück- sichtigt werden können. Dass aufgrund der bei der Vorinstanz vorhandenen Ur- kunden die Klage als nicht sehr wahrscheinlich begründet zu werten gewesen wä- re, wird sodann in der Beschwerde nicht geltend gemacht. e) Nach dem Gesagten erweist sich die Beschwerde als offensichtlich un- begründet. Sie ist demgemäss abzuweisen, soweit auf sie einzutreten ist (oben Erwägung 2). f) Dem Beklagten steht es frei, die mit der Beschwerde eingereichte Bei- lagen (Urk. 3) an der vorinstanzlichen Verhandlung vom 1. Dezember 2023 einzu-</w:t>
      </w:r>
    </w:p>
    <w:p>
      <w:r>
        <w:t>- 5 - reichen. Das Obergericht wird diese nicht an die Vorinstanz überweisen (vgl. un- ten Dispositiv-Ziffer 5).</w:t>
      </w:r>
    </w:p>
    <w:p>
      <w:r>
        <w:rPr>
          <w:b/>
        </w:rPr>
        <w:t>E. 4</w:t>
      </w:r>
    </w:p>
    <w:p>
      <w:r>
        <w:t>a) Das Beschwerdeverfahren beschlägt eine Streitigkeit mit einem Streitwert von Fr. 496.50. Die zweitinstanzliche Entscheidgebühr ist auf Fr. 100.-- festzusetzen (§ 4 Abs. 1, § 8 Abs. 1 und § 12 Gerichtsgebührenverordnung). b) Die Gerichtskosten des Beschwerdeverfahrens sind ausgangsgemäss dem Beklagten aufzuerlegen (Art. 106 Abs. 1 ZPO). c) Für das Beschwerdeverfahren sind keine Parteientschädigungen zuzu- sprechen, dem Beklagten zufolge seines Unterliegens, dem Kläger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