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PP230048 vom 20. Oktober 2023</w:t>
      </w:r>
    </w:p>
    <w:p>
      <w:r>
        <w:t>ZH Obergericht, 2023-10-20, DE</w:t>
      </w:r>
    </w:p>
    <w:p>
      <w:r>
        <w:rPr>
          <w:b/>
        </w:rPr>
        <w:t xml:space="preserve">Quelle: </w:t>
      </w:r>
      <w:r>
        <w:t>https://mcp.opencaselaw.ch/entscheid/zh_obergericht_PP230048</w:t>
      </w:r>
    </w:p>
    <w:p>
      <w:r>
        <w:t>FR: ZH_OBERGERICHT PP230048 du 20 octobre 2023</w:t>
      </w:r>
    </w:p>
    <w:p>
      <w:r>
        <w:t>IT: ZH_OBERGERICHT PP230048 del 20 ottobre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Mit elektronischer Eingabe vom 19. Oktober 2023, gleichentags beim Ober- gericht eingegangen, zog der Kläger seine am 2. Oktober 2023 eingereichte Be- schwerde zurück (Urk. 9). Das Beschwerdeverfahren ist demgemäss abzuschrei- ben (Art. 241 ZPO.)</w:t>
      </w:r>
    </w:p>
    <w:p>
      <w:r>
        <w:rPr>
          <w:b/>
        </w:rPr>
        <w:t>E. 2</w:t>
      </w:r>
    </w:p>
    <w:p>
      <w:r>
        <w:t>Im Verfahren um die unentgeltliche Rechtspflege werden grundsätzlich kei- ne Kosten erhoben (Art. 119 Abs. 6 ZPO). Nach bundesgerichtlicher Rechtspre- chung gilt dies allerdings nur für das Gesuchsverfahren, nicht jedoch für ein Be- schwerdeverfahren darüber (BGE 137 III 470). Entsprechend ist für das vorlie- gende Beschwerdeverfahren eine Entscheidgebühr von Fr. 250.-- festzusetzen (§ 9 Abs. 1, § 10 Abs. 1 und § 12 GebV OG). Die Gerichtskosten sind ausgangs- gemäss dem Kläger aufzuerlegen; Parteientschädigungen sind keine zuzuspre- chen (Art. 106 Abs. 1, Art. 95 Abs. 3 ZPO).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