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PP230025 vom 4. Juli 2023</w:t>
      </w:r>
    </w:p>
    <w:p>
      <w:r>
        <w:t>ZH Obergericht, 2023-07-04, DE</w:t>
      </w:r>
    </w:p>
    <w:p>
      <w:r>
        <w:rPr>
          <w:b/>
        </w:rPr>
        <w:t xml:space="preserve">Quelle: </w:t>
      </w:r>
      <w:r>
        <w:t>https://mcp.opencaselaw.ch/entscheid/zh_obergericht_PP230025</w:t>
      </w:r>
    </w:p>
    <w:p>
      <w:r>
        <w:t>FR: ZH_OBERGERICHT PP230025 du 4 juillet 2023</w:t>
      </w:r>
    </w:p>
    <w:p>
      <w:r>
        <w:t>IT: ZH_OBERGERICHT PP230025 del 4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3. Mai 2023 reichte die Klägerin beim Bezirksgericht Zürich (Vorinstanz) eine Klage gemäss Art. 85a SchKG auf Feststellung des Nichtbeste- hens einer Schuld von Fr. 10'213.10 nebst Zins und Kosten ein (Urk. 1). Die Klä- gerin leistete einen Gerichtskostenvorschuss von Fr. 890.-- (Urk. 3 und 7). Nach- dem die Klägerin erklärt und das Betreibungsamt bestätigt hatte, dass die Betrei- bung zurückgezogen worden sei (Urk. 9, Urk. 11), schrieb die Vorinstanz mit Ver- fügung vom 25. Mai 2023 das Verfahren als gegenstandslos geworden ab und regelte die Kosten- und Entschädigungsfolgen wie folgt (Urk. 20 S. 4): "2. Die Entscheidgebühr wird auf CHF 450.– festgesetzt und der Beklagten auferlegt. Sie wird vom Vorschuss der Klägerin bezogen, ist ihr jedoch von der Beklagten zu ersetzen.</w:t>
      </w:r>
    </w:p>
    <w:p>
      <w:r>
        <w:rPr>
          <w:b/>
        </w:rPr>
        <w:t>E. 3</w:t>
      </w:r>
    </w:p>
    <w:p>
      <w:r>
        <w:t>a) Für das Beschwerdeverfahren beträgt der Streitwert Fr. 440.--. Die zweitinstanzliche Entscheidgebühr ist in Anwendung von § 4 Abs. 1 und Abs. 2 sowie § 12 der Gerichtsgebührenverordnung auf Fr. 100.-- festzusetzen. b) Die Gerichtskosten des Beschwerdeverfahrens sind ausgangsgemäss der Klägerin aufzuerlegen (Art. 106 Abs. 1 ZPO). c) Für das Beschwerdeverfahren sind keine Parteientschädigungen zuzu- sprechen, der Klägerin zufolge ihres Unterliegens, der Beklagten mangels rele- vanter Umtriebe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