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PP230015 vom 20. Juli 2023</w:t>
      </w:r>
    </w:p>
    <w:p>
      <w:r>
        <w:t>ZH Obergericht, 2023-07-20, DE</w:t>
      </w:r>
    </w:p>
    <w:p>
      <w:r>
        <w:rPr>
          <w:b/>
        </w:rPr>
        <w:t xml:space="preserve">Quelle: </w:t>
      </w:r>
      <w:r>
        <w:t>https://mcp.opencaselaw.ch/entscheid/zh_obergericht_PP230015</w:t>
      </w:r>
    </w:p>
    <w:p>
      <w:r>
        <w:t>FR: ZH_OBERGERICHT PP230015 du 20 juillet 2023</w:t>
      </w:r>
    </w:p>
    <w:p>
      <w:r>
        <w:t>IT: ZH_OBERGERICHT PP230015 del 20 luglio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Eingabe vom 3. Januar 2023 (Urk. 6/2) erhob die Klägerin und Be- schwerdegegnerin 1 (fortan Klägerin) unter Beilage der Klagebewilligung des Friedensrichteramtes D._____ vom 27. September 2022 (Urk. 6/1) bei der Vo- rinstanz eine Klage betreffend Persönlichkeitsverletzung gegen den Beklagten 1 und Beschwerdegegner 2 (fortan Beklagter 1) sowie den Beklagten 2 und Be- schwerdeführer (fortan Beklagter 2). Der Beklagte 2 ersuchte am 1. Februar 2023 sinngemäss um Sistierung des vorinstanzlichen Verfahrens bis zum Vorliegen ei- nes erstinstanzlichen Entscheids des Bezirksgerichts Pfäffikon (Urk. 6/12 S. 2). Mit Verfügung vom 8. Mai 2023 wies die Vorinstanz den Sistierungsantrag des Beklagten 2 ab (Urk. 6/38 Dispositiv-Ziffer 1 = Urk. 2 Dispositiv-Ziffer 1). b) Hiergegen erhob der Beklagte 2 mit Eingabe vom 21. Mai 2023 (Post- stempel vom 22. Mai 2023, eingegangen am 23. Mai 2023) innert Frist (vgl. Urk. 6/39) Beschwerde mit den folgenden Anträgen (Urk. 1 S. 2): "1. Die Verfügung des Bezirksgerichts Hinwil (Geschäfts-Nr. FV230001-E/Z07) vom 8. Mai 2023 sei aufzuheben.</w:t>
      </w:r>
    </w:p>
    <w:p>
      <w:r>
        <w:rPr>
          <w:b/>
        </w:rPr>
        <w:t>E. 2</w:t>
      </w:r>
    </w:p>
    <w:p>
      <w:r>
        <w:t>(…)</w:t>
      </w:r>
    </w:p>
    <w:p>
      <w:r>
        <w:rPr>
          <w:b/>
        </w:rPr>
        <w:t>E. 3</w:t>
      </w:r>
    </w:p>
    <w:p>
      <w:r>
        <w:t>Unter Kosten- und Entschädigungsfolgen zulasten der Beschwerdegegner.</w:t>
      </w:r>
    </w:p>
    <w:p>
      <w:r>
        <w:rPr>
          <w:b/>
        </w:rPr>
        <w:t>E. 4</w:t>
      </w:r>
    </w:p>
    <w:p>
      <w:r>
        <w:t>a) Das Beschwerdeverfahren beschlägt in der Hauptsache eine nicht vermögensrechtliche Streitigkeit. Die zweitinstanzliche Entscheidgebühr ist in An- wendung von § 12 Abs. 1 und 2 GebV OG i.V.m. § 9 GebV OG auf Fr. 500.– fest- zusetzen. Bei einem Nichteintretensentscheid gilt die klagende Partei bzw. die Partei, welche das Rechtsmittel erhoben hat, als unterliegend (vgl. Art. 106 Abs. 1 ZPO). Die Gerichtskosten des Beschwerdeverfahrens sind ausgangsgemäss dem Beklagten 2 aufzuerlegen (Art. 106 Abs. 1 ZPO). b) Für das Beschwerdeverfahren sind keine Parteientschädigungen zuzu- sprechen, dem Beklagten 2 zufolge seines Unterliegens, der Klägerin und dem Beklagten 1 mangels wesentlicher Umtriebe (Art. 106 Abs. 1, Art 95 Abs. 3 ZPO). c) Der Beklagte 1 ersucht für das Beschwerdeverfahren um Gewährung der unentgeltlichen Rechtspflege und um Bestellung einer unentgeltlichen Rechtsverbeiständung (Urk. 7). Nachdem er keine Gerichtskosten für das Be- schwerdeverfahren zu tragen hat und ihm keine wesentlichen anwaltlichen Auf- wendungen entstanden sind, erweist sich das Armenrechtsgesuch für das Be- schwerdeverfahren als gegenstandslos und ist abzuschreiben.</w:t>
      </w:r>
    </w:p>
    <w:p>
      <w:r>
        <w:t>- 6 -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