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PP220025 vom 9. September 2022</w:t>
      </w:r>
    </w:p>
    <w:p>
      <w:r>
        <w:t>ZH Obergericht, 2022-09-09, DE</w:t>
      </w:r>
    </w:p>
    <w:p>
      <w:r>
        <w:rPr>
          <w:b/>
        </w:rPr>
        <w:t xml:space="preserve">Quelle: </w:t>
      </w:r>
      <w:r>
        <w:t>https://mcp.opencaselaw.ch/entscheid/zh_obergericht_PP220025</w:t>
      </w:r>
    </w:p>
    <w:p>
      <w:r>
        <w:t>FR: ZH_OBERGERICHT PP220025 du 9 septembre 2022</w:t>
      </w:r>
    </w:p>
    <w:p>
      <w:r>
        <w:t>IT: ZH_OBERGERICHT PP220025 del 9 settembre 2022</w:t>
      </w:r>
    </w:p>
    <w:p>
      <w:pPr>
        <w:pStyle w:val="Heading2"/>
      </w:pPr>
      <w:r>
        <w:t>Erwägungen</w:t>
      </w:r>
    </w:p>
    <w:p>
      <w:r>
        <w:rPr>
          <w:b/>
        </w:rPr>
        <w:t>E. 1</w:t>
      </w:r>
    </w:p>
    <w:p>
      <w:r>
        <w:t>Das Friedensrichteramt der Stadt Zürich stellte der Klägerin und Beschwerdefüh- rerin (fortan Beschwerdeführerin) für das Erteilen von Klagebewilligungen folgen- de Beträge in Rechnung (act. 13/1–10): Rechnungsnummer Geschäftsnummer Klagebewilligung Rechnungsbetrag 25269 GV.2020.00242 25. November 2020 Fr. 250.– 25274 GV.2020.00268 2. Dezember 2020 Fr. 250.– 25374 GV.2020.00327 24. Februar 2021 Fr. 420.– 25372 GV.2020.00326 24. Februar 2021 Fr. 420.– 25373 GV.2021.00003 24. Februar 2021 Fr. 420.– 25398 GV.2021.00045 10. März 2021 Fr. 420.– 25411 GV.2021.00036 17. März 2021 Fr. 420.– 25408 GV.2021.00034 17. März 2021 Fr. 420.– 25412 GV.2021.00040 17. März 2021 Fr. 420.– 25409 GV.2021.00035 17. März 2021 Fr. 420.– Die Beschwerdeführerin bezahlte diese Rechnungen nicht. In der Folge reichte die Beklagte und Beschwerdegegnerin (fortan Beschwerdegegnerin) beim Betrei- bungsamt Zürich 7 ein Betreibungsbegehren ein. Der entsprechende Zahlungsbe- fehl Nr. … datiert vom 28. März 2022 und wurde der Beschwerdeführerin am</w:t>
      </w:r>
    </w:p>
    <w:p>
      <w:r>
        <w:rPr>
          <w:b/>
        </w:rPr>
        <w:t>E. 1.1</w:t>
      </w:r>
    </w:p>
    <w:p>
      <w:r>
        <w:t>Das vorliegende Rechtsmittel richtet sich gegen einen bezirksgerichtlichen Entscheid in einer vermögensrechtlichen Angelegenheit mit einem Streitwert unter Fr. 10'000.–. Solche Entscheide sind mit Beschwerde anfechtbar (Art. 319 lit. a in Verbindung mit Art. 308 ZPO).</w:t>
      </w:r>
    </w:p>
    <w:p>
      <w:r>
        <w:rPr>
          <w:b/>
        </w:rPr>
        <w:t>E. 1.2</w:t>
      </w:r>
    </w:p>
    <w:p>
      <w:r>
        <w:t>Die Vorinstanz stellte das angefochtene Urteil der Beschwerdeführerin am</w:t>
      </w:r>
    </w:p>
    <w:p>
      <w:r>
        <w:rPr>
          <w:b/>
        </w:rPr>
        <w:t>E. 1.3</w:t>
      </w:r>
    </w:p>
    <w:p>
      <w:r>
        <w:t>Mit Beschwerde kann die unrichtige Rechtsanwendung sowie eine offen- sichtlich unrichtige Feststellung des Sachverhaltes geltend gemacht werden (Art. 320 ZPO). Die Beschwerde ist begründet und mit Anträgen versehen bei der Rechtsmittelinstanz einzureichen. Die Beschwerde soll sich sachbezogen mit der Begründung des angefochtenen Entscheids auseinandersetzen und darlegen, in- wieweit der angefochtene Entscheid unrichtig sei (CHK-Sutter-Somm/Seiler, Art. 321 ZPO N 13 f.). Neue Anträge, neue Tatsachenbehauptungen und neue Beweismittel sind ausgeschlossen (Art. 326 ZPO). Die Beschwerde enthält ein Rechtsbegehren und wurde ausreichend begründet (act. 22). Damit entspricht sie den formellen Voraussetzungen von Art. 321 Abs. 1 ZPO. Da die Beschwerdefüh- rerin zudem den obergerichtlichen Kostenvorschuss von Fr. 800.– fristgerecht be- zahlt hat (act. 25–27), ist auf ihr Rechtsmittel einzutreten. 2. Die Vorinstanz wies die negative Feststellungsklage im Wesentlichen mit folgen- der Begründung ab: Die Kosten für das Schlichtungsverfahren gehörten zu den Gerichtskosten und würden bei Erteilung der Klagebewilligung der klagenden Par- tei auferlegt. Die Beschwerdegegnerin habe Kopien der fraglichen Rechnungen eingereicht. Diese stimmten hinsichtlich der Rechnungsnummern und -daten, der Höhe der Forderungen sowie der dazugehörigen Geschäftsnummern mit den je- weiligen Angaben im Zahlungsbefehl überein. Jede einzelne Rechnung nenne ein exaktes Zahlungsdatum. Auch habe die Beschwerdeführerin die massgeblichen Empfangsbestätigungen dem Gericht vorgelegt. Bei den betriebenen Forderun- gen handle es sich um Gebühren für Verfahren, welche die Beschwerdeführerin eingeleitet habe. Dabei sei unerheblich, dass die Beschwerdegegnerin ihre 30- tägige Zahlungsfrist ab dem jeweiligen Rechnungsdatum und nicht ab Zustellung der Rechnung festgesetzt habe. Aus den Rechnungen gehe klar hervor, bis zu welchem Tag die Beschwerdeführerin diese hätte bezahlen müssen. Die Be- schwerdegegnerin habe die Zahlungen bis zu bestimmten Verfalltagen im Sinne von Art. 102 Abs. 2 OR verlangt, sodass die Beschwerdeführerin schon mit Ablauf dieses Tages in Verzug gekommen sei. Entsprechend seien die Forderungen ab dem Folgetag mit 5 % zu verzinsen (Art. 104 Abs. 1 OR). Die gesetzlichen Be-</w:t>
      </w:r>
    </w:p>
    <w:p>
      <w:r>
        <w:t>- 6 - stimmungen zum Erfüllungszeitpunkt (Art. 75 ff. OR), insbesondere die Regeln zu den Sonn- und Feiertagen, kämen somit nicht zur Anwendung. Demzufolge sei der geltend gemachte Zins nicht zu beanstanden. Sodann sei auch nicht ersicht- lich, weshalb für die Rechnungstellung der Schlichtungsgebühren eine Rechts- kraftbescheinigung vorauszusetzen sei, zumal gegen die Klagebewilligung kein Rechtsmittel mit aufschiebender Wirkung ergriffen werden könne (act. 24 E. III/5). 3. 3.1. Die Beschwerdeführerin hält dem zunächst entgegen, an die vorinstanzli- che Verhandlung sei für die Beschwerdegegnerin eine Frau erschienen, die sich als "Frau B._____" ausgegeben habe. Sie habe indessen keine rechtsgenügende Vollmacht vorgelegt, wonach sie die Beschwerdegegnerin vertreten dürfe. Diese "Frau B._____" habe der Vorinstanz lediglich anerboten, ihre Identität mit einem Ausweis zu beweisen. Die zuständige Richterin habe dies indessen für unnötig erachtet. Richtigerweise hätte die Vorinstanz von Amtes wegen die Identität die- ser "Frau B._____" ermitteln müssen. Dann hätte sie nämlich gesehen, dass "Frau B._____" nicht befugt gewesen sei, die Beschwerdegegnerin zu vertreten. Entsprechend hätte die Vorinstanz feststellen müssen, dass die Beschwerdegeg- nerin unentschuldigt der Verhandlung ferngeblieben sei (act. 22 Rz. 6–9). 3.2. In einem Zivilprozess muss sich die Vertreterin durch eine Vollmacht aus- weisen (Art. 68 Abs. 3 ZPO). Diese Vollmachtspflicht gilt indessen bloss für die gewillkürte Parteivertretung (KUKO ZPO-Domej, 3. Aufl., Art. 68 N 1). Eine solche frei gewählte Vertretung liegt immer dann vor, wenn die Vertreterin ihre Vertre- tungsmacht aus einer Bevollmächtigung ableitet, die ihr der Vertretene zuvor aus- drücklich erteilt hat (CHK-Sutter-Somm/Seiler, Art. 68 ZPO N 1). Wie aus den Klagebewilligungen hervorgeht, ist Frau B._____ die Friedensrichterin der Kreise 7 und 8 der Stadt Zürich (act. 13/1–10). Gemäss § 201 Abs. 4 GOG besorgen die Friedensrichterämter ihr Rechnungswesen selbst. Dabei fallen ihre Einnahmen in die jeweiligen Gemeindekassen (§ 56 Satz 2 GOG). Folglich vertreten Friedens- richterinnen und Friedensrichter bereits von Gesetzes wegen das Gemeinwesen, dem sie angehören. Sie benötigen dafür keine spezielle Vollmacht. Die Friedens- richterin Frau B._____ darf mithin im Namen der Stadt Zürich ausstehende Ge-</w:t>
      </w:r>
    </w:p>
    <w:p>
      <w:r>
        <w:t>- 7 - bühren für das Schlichtungsverfahren auf dem Rechtsweg einfordern. Ein Gericht muss nur dann den Personalausweis prüfen, wenn Zweifel an der Identität einer Person bestehen. Die Beschwerdeführerin hat keine konkreten Tatsachen vorge- bracht, aufgrund derer die Vorinstanz Zweifel an der Identität von Frau B._____ hätte haben müssen. 4. 4.1. Die Beschwerdeführerin rügt weiter, im öffentlichen Recht dürfe eine Be- hörde eine Privatperson nur gestützt auf eine vollstreckbare rechtskräftige Urkun- de betreiben. Vorliegend habe die Beschwerdegegnerin keine Rechtskraftbe- scheinigung eingereicht. Fehle eine solche, dann sei die Forderung nicht fällig und damit auch nicht vollstreckbar (act. 22 Rz. 12–16). 4.2. Das Friedensrichteramt der Kreise 7 und 8 der Stadt Zürich stellte der Be- schwerdeführerin zehn Klagebewilligungen aus. Darin auferlegte dieses Amt der Beschwerdeführerin die Kosten des Schlichtungsverfahrens. Solche Kostenent- scheide sind nur mit Beschwerde selbständig anfechtbar (Art. 110 ZPO; BGer, 4D_68/2013 vom 12. November 2013, E. 3). Beschwerden hemmen weder die Rechtskraft noch die Vollstreckbarkeit der angefochtenen Entscheide (Art. 325 Abs. 1 ZPO). Nur auf ausdrückliche Anordnung hin schiebt die Rechtsmittel- instanz die Vollstreckung auf (Art. 325 Abs. 2 Satz 1 ZPO). Die Beschwerdeführe- rin macht nicht geltend, sie habe die Kostenentscheide des Friedensrichteramtes mit Beschwerde angefochten. Entsprechend reichte sie auch keine prozessleiten- de Verfügung ein, welche die Vollstreckbarkeit aufschiebt. Damit ist die Voll- streckbarkeit der Kostenentscheide zu bejahen. 5. 5.1. Die Beschwerdeführerin macht weiter geltend, gemäss § 29a Abs. 1 VRG werde eine öffentlich-rechtliche Forderung einer Verwaltungsbehörde erst 30 Tage seit Zustellung der Rechnung fällig. Vorliegend habe die Beschwerde- gegnerin ihre Rechnungen bereits mit den Klagebewilligungen versandt. Zu die- sem Zeitpunkt seien die Klagebewilligungen noch nicht rechtskräftig gewesen.</w:t>
      </w:r>
    </w:p>
    <w:p>
      <w:r>
        <w:t>- 8 - Vielmehr habe die 30-tägige Beschwerdefrist erst mit der Zustellung der Klage- bewilligung zu laufen begonnen (act. 22 Rz. 17). 5.2. Es kann offenbleiben, ob und unter welchen Umständen in einem friedens- richterlichen Verfahren das Verwaltungsrechtspflegegesetz anwendbar ist. Selbst wenn die Friedensrichterin § 29a Abs. 2 VRG hätte beachten müssen, würde dies der Beschwerdeführerin nicht weiterhelfen: Die Friedensrichterin setzte der Be- schwerdeführerin für alle zehn Klagebewilligungen je eine Zahlungsfrist an. Da- nach hätte die Beschwerdeführerin die erste Rechnung bis zum 25. Dezember 2020 (act. 13/1) und die letzte Rechnung bis zum 16. April 2021 (act. 13/10) be- gleichen müssen. Das Friedensrichteramt betrieb die Beschwerdeführerin indes- sen erst im März 2022 (act. 2). In diesem Zeitpunkt war bezüglich aller Rechnun- gen die 30-Tagesfrist von § 29a Abs. 1 VRG längst verstrichen. 6.</w:t>
      </w:r>
    </w:p>
    <w:p>
      <w:r>
        <w:rPr>
          <w:b/>
        </w:rPr>
        <w:t>E. 6</w:t>
      </w:r>
    </w:p>
    <w:p>
      <w:r>
        <w:t>April 2022 zugestellt (act. 2 f.).</w:t>
      </w:r>
    </w:p>
    <w:p>
      <w:r>
        <w:t>- 3 - 2. Die Beschwerdeführerin machte am 6. April 2022 (Datum Poststempel) gegen die Beschwerdegegnerin beim Bezirksgericht Zürich (fortan Vorinstanz) eine negative Feststellungsklage im Sinne von Art. 85a SchKG anhängig. Darin stellte sie sinn- gemäss folgendes Rechtsbegehren (act. 1): 1. Es sei gerichtlich festzustellen, dass die gestellten Forderungen der Beklagten gegenüber der Klägerin in der Höhe von - Fr. 250.– nebst 5 % Zins seit dem 26. Dezember 2020 - Fr. 250.– nebst 5 % Zins seit dem 2. Januar 2021 und - Fr. 420.– nebst 5 % Zins seit dem 27. März 2021 und - Fr. 420.– nebst 5 % Zins seit dem 27. März 2021 und - Fr. 420.– nebst 5 % Zins seit dem 27. März 2021 und - Fr. 420.– nebst 5 % Zins seit dem 10. April 2021 und - Fr. 420.– nebst 5 % Zins seit dem 17. April 2021 und - Fr. 420.– nebst 5 % Zins seit dem 17. April 2021 und - Fr. 420.– nebst 5 % Zins seit dem 17. April 2021 und - Fr. 420.– nebst 5 % Zins seit dem 17. April 2021 sowie die Betreibungskosten von Fr. 73.30 in Bezug auf die Betreibung Nr. … nicht bestehen. 2. Die Betreibung Nr. … sei für nichtig zu erklären und aufzuheben. 3. Das Betreibungsamt Zürich 7 sei gerichtlich anzuweisen, die Betrei- bung Nr. … im Betreibungsregister zu löschen. 4. Unter Kosten- und Entschädigungsfolge zu Lasten der Beklagten. Mit Urteil vom 29. Juni 2022 wies die Vorinstanz diese Klage ab (act. 24). 3. Dagegen erhob die Beschwerdeführerin Beschwerde beim Obergericht des Kan- tons Zürich. In ihrem Rechtsmittel stellte sie sinngemäss folgende Anträge (act. 22): 1. Die Verfügung vom 29. Juni 2022 im Verfahren FV220052 sei vollum- fänglich aufzuheben. 2. Es sei gerichtlich festzustellen, dass die gestellten Forderungen der Beklagten gegenüber der Klägerin in der Höhe von</w:t>
      </w:r>
    </w:p>
    <w:p>
      <w:r>
        <w:t>- 4 - - Fr. 250.– nebst 5 % Zins seit dem 26. Dezember 2020 und - Fr. 250.– nebst 5 % Zins seit dem 2. Januar 2021 und - Fr. 420.– nebst 5 % Zins seit dem 27. März 2021 und - Fr. 420.– nebst 5 % Zins seit dem 27. März 2021 und - Fr. 420.– nebst 5 % Zins seit dem 27. März 2021 und - Fr. 420.– nebst 5 % Zins seit dem 10. April 2021 und - Fr. 420.– nebst 5 % Zins seit dem 17. April 2021 und - Fr. 420.– nebst 5 % Zins seit dem 17. April 2021 und - Fr. 420.– nebst 5 % Zins seit dem 17. April 2021 und - Fr. 420.– nebst 5 % Zins seit dem 17. April 2021 sowie die Betreibungskosten von Fr. 73.30 in Bezug auf die Betreibung Nr. ... nicht bestehen. 3. Die Betreibung Nr. ... sei für nichtig zu erklären und aufzuheben. 4. Das Betreibungsamt Zürich 7 sei gerichtlich anzuweisen, die Betrei- bung Nr. ... im Betreibungsregister zu löschen. 5. Unter Kosten- und Entschädigungsfolge zu Lasten der Beklagten. Mit Verfügung vom 17. August 2022 setzte die Kammer der Beschwerdeführerin eine Frist an, um für das Beschwerdeverfahren einen Kostenvorschuss von Fr. 800.– zu leisten (act. 25). Mit Valutadatum vom 25. August 2022 traf dieser Betrag beim Obergericht ein (act. 27). Die Beschwerdeschrift ist der Beschwerde- gegnerin mit dem vorliegenden Endentscheid zuzustellen. II. 1.</w:t>
      </w:r>
    </w:p>
    <w:p>
      <w:r>
        <w:rPr>
          <w:b/>
        </w:rPr>
        <w:t>E. 6.1</w:t>
      </w:r>
    </w:p>
    <w:p>
      <w:r>
        <w:t>Schliesslich macht die Beschwerdeführerin geltend, zu den Voraussetzun- gen des Schuldnerverzuges zähle in analoger Anwendung von Art. 102 Abs. 1 OR einerseits die Fälligkeit der Forderung und andererseits die Mahnung durch den Gläubiger. Vorliegend habe die Beschwerdegegnerin keine Mahnungen ein- gereicht, die bewiesen, dass die Forderungen an den im Zahlungsbefehl erwähn- ten Daten in Verzug gesetzt worden seien (act. 22 Rz. 18–22).</w:t>
      </w:r>
    </w:p>
    <w:p>
      <w:r>
        <w:rPr>
          <w:b/>
        </w:rPr>
        <w:t>E. 6.2</w:t>
      </w:r>
    </w:p>
    <w:p>
      <w:r>
        <w:t>Ist ein Entscheid nur mit Beschwerde anfechtbar, so wird dieser mit Ausfäl- lung sofort vollstreckbar (DIKE-Komm-Rohner/Mohs, 2. Aufl., Art. 336 ZPO N 2; BSK ZPO-Droese, 3. Aufl., Art. 336 N 8). Dies gilt für alle Anordnungen des Dis- positives, mithin auch für die Kostenregelung. Wie oben dargelegt, hat die Be- schwerdegegnerin der Beschwerdeführerin zehn Termine gesetzt; damit liegt ein sog. Verfalltag vor. Bei einem solchen Verfalltag erübrigt sich eine Mahnung, ge- rät doch die säumige Person mit Verstreichen dieses Tages sofort in Verzug (vgl. Art. 102 Abs. 2 OR; BSK OR I-Widmer Lüchinger/Wiegand, 7. Aufl., Art. 102 N 10–12). Folglich war hier eine Mahnung entbehrlich. Im Übrigen stellt auch das öffentliche Recht bezüglich des Verzugseintrittes analog auf die Kriterien von</w:t>
      </w:r>
    </w:p>
    <w:p>
      <w:r>
        <w:t>- 9 - Art. 102 OR ab (BVGer, B-1483/2019 vom 23. März 2021, E. 5.1; BGE 143 II 37 E. 5.2.2). 7. Entsprechend ist die Beschwerde vollumfänglich abzuweisen. III.</w:t>
      </w:r>
    </w:p>
    <w:p>
      <w:r>
        <w:rPr>
          <w:b/>
        </w:rPr>
        <w:t>E. 11</w:t>
      </w:r>
    </w:p>
    <w:p>
      <w:r>
        <w:t>Juli 2022 zu (act. 18). Diese erhob am 8. August 2022 (Datum Poststempel; act. 22) und damit rechtzeitig innerhalb der 30-tägigen Rechtsmittelfrist ihre Be- schwerde.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