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PP220011 vom 4. Juli 2022</w:t>
      </w:r>
    </w:p>
    <w:p>
      <w:r>
        <w:t>ZH Obergericht, 2022-07-04, DE</w:t>
      </w:r>
    </w:p>
    <w:p>
      <w:r>
        <w:rPr>
          <w:b/>
        </w:rPr>
        <w:t xml:space="preserve">Quelle: </w:t>
      </w:r>
      <w:r>
        <w:t>https://mcp.opencaselaw.ch/entscheid/zh_obergericht_PP220011</w:t>
      </w:r>
    </w:p>
    <w:p>
      <w:r>
        <w:t>FR: ZH_OBERGERICHT PP220011 du 4 juillet 2022</w:t>
      </w:r>
    </w:p>
    <w:p>
      <w:r>
        <w:t>IT: ZH_OBERGERICHT PP220011 del 4 luglio 2022</w:t>
      </w:r>
    </w:p>
    <w:p>
      <w:pPr>
        <w:pStyle w:val="Heading2"/>
      </w:pPr>
      <w:r>
        <w:t>Erwägungen</w:t>
      </w:r>
    </w:p>
    <w:p>
      <w:r>
        <w:rPr>
          <w:b/>
        </w:rPr>
        <w:t>E. 1</w:t>
      </w:r>
    </w:p>
    <w:p>
      <w:r>
        <w:t>a) Die Parteien stehen vor Erstinstanz in einem Forderungsverfahren. Mit Verfügung vom 31. März 2022 entschied die Vorinstanz das Folgende (Urk. 2 S. 4 f. = Urk. 7/27 S. 4 f.): " 1. Die Streitberufenen 2 und 3 werden unter Hinweis auf die obigen Erwägungen aus dem Rubrum entfernt.</w:t>
      </w:r>
    </w:p>
    <w:p>
      <w:r>
        <w:rPr>
          <w:b/>
        </w:rPr>
        <w:t>E. 2</w:t>
      </w:r>
    </w:p>
    <w:p>
      <w:r>
        <w:t>Die Parteien werden separat zur Hauptverhandlung vorgeladen.</w:t>
      </w:r>
    </w:p>
    <w:p>
      <w:r>
        <w:rPr>
          <w:b/>
        </w:rPr>
        <w:t>E. 3</w:t>
      </w:r>
    </w:p>
    <w:p>
      <w:r>
        <w:t>(Schriftliche Mitteilung.)</w:t>
      </w:r>
    </w:p>
    <w:p>
      <w:r>
        <w:rPr>
          <w:b/>
        </w:rPr>
        <w:t>E. 4</w:t>
      </w:r>
    </w:p>
    <w:p>
      <w:r>
        <w:t>Das Bezirksgericht Zürich sei anzuweisen, erst zur Hauptverhand- lung vorzuladen, nachdem allen Streitberufenen die Streitverkün- dung zugestellt worden sein wird.</w:t>
      </w:r>
    </w:p>
    <w:p>
      <w:r>
        <w:rPr>
          <w:b/>
        </w:rPr>
        <w:t>E. 5</w:t>
      </w:r>
    </w:p>
    <w:p>
      <w:r>
        <w:t>Mangels eines nicht leicht wiedergutzumachenden Nachteils im Sinne von Art. 319 lit. b Ziff. 2 ZPO ist auf die Beschwerde der Beklagten demnach nicht einzutreten. Mit dem vorliegenden Entscheid wird der Antrag um Erteilung der aufschie- benden Wirkung obsolet.</w:t>
      </w:r>
    </w:p>
    <w:p>
      <w:r>
        <w:rPr>
          <w:b/>
        </w:rPr>
        <w:t>E. 6</w:t>
      </w:r>
    </w:p>
    <w:p>
      <w:r>
        <w:t>Eine Beschwerde gegen diesen Entscheid an das Bundesgericht ist innert 30 Tagen von der Zustellung an beim Schweizerischen Bundesgericht,</w:t>
      </w:r>
    </w:p>
    <w:p>
      <w:r>
        <w:t>- 7 - 1000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vermögensrechtliche Angelegenheit. Der Streitwert der Hauptsache liegt unter Fr. 30'000.–. Die Beschwerde an das Bundesgericht hat keine aufschiebende Wirkung. Hinsichtlich des Fristenlaufs gelten die Art. 44 ff. BGG. Zürich, 4. Juli 2022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