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PP220007 vom 5. April 2022</w:t>
      </w:r>
    </w:p>
    <w:p>
      <w:r>
        <w:t>ZH Obergericht, 2022-04-05, DE</w:t>
      </w:r>
    </w:p>
    <w:p>
      <w:r>
        <w:rPr>
          <w:b/>
        </w:rPr>
        <w:t xml:space="preserve">Quelle: </w:t>
      </w:r>
      <w:r>
        <w:t>https://mcp.opencaselaw.ch/entscheid/zh_obergericht_PP220007</w:t>
      </w:r>
    </w:p>
    <w:p>
      <w:r>
        <w:t>FR: ZH_OBERGERICHT PP220007 du 5 avril 2022</w:t>
      </w:r>
    </w:p>
    <w:p>
      <w:r>
        <w:t>IT: ZH_OBERGERICHT PP220007 del 5 aprile 2022</w:t>
      </w:r>
    </w:p>
    <w:p>
      <w:pPr>
        <w:pStyle w:val="Heading2"/>
      </w:pPr>
      <w:r>
        <w:t>Erwägungen</w:t>
      </w:r>
    </w:p>
    <w:p>
      <w:r>
        <w:rPr>
          <w:b/>
        </w:rPr>
        <w:t>E. 2</w:t>
      </w:r>
    </w:p>
    <w:p>
      <w:r>
        <w:t>Die Vorinstanz erwog im Wesentlichen, dem monatlichen Nettoeinkommen der Klägerin von total Fr. 2'959.– stehe ein betreibungsrechtlicher Bedarf von total Fr. 2'633.30 gegenüber, der sich wie folgt zusammensetze: Gemäss den von der Klägerin eingereichten Belegen belaufe sich der Mietzins auf Fr. 1'054.–. Die zu- sätzlich von ihr geltend gemachten Fr. 43.35 würden die Stromkosten betreffen, welche im nachfolgend aufzunehmenden Grundbetrag enthalten seien und nicht zusätzlich berücksichtigt werden könnten. Die Klägerin mache sodann die Prä- mien für eine nicht weiter belegte Zusatzkrankenversicherung von Fr. 28.70, die Prämien für zwei Rechtsschutzversicherungen von Fr. 48.60 und Steuerbetreff- nisse von Fr. 2.– geltend, welche ihr grundsätzlich zuzugestehen seien. Weitere Auslagen führe die Klägerin nicht an. Zur Bestreitung ihrer allgemeinen Lebens- haltungskosten habe die Klägerin Anspruch auf den zivilprozessualen Notbedarf,</w:t>
      </w:r>
    </w:p>
    <w:p>
      <w:r>
        <w:t>- 3 - der aus dem betreibungsrechtlichen Grundbetrag von Fr. 1'200.– und einem Zu- schlag von 25 %, mithin Fr. 300.–, bestehe. Aufgrund des sich bei Gegenüberstel- lung von Einkommen und Bedarf ergebenden monatlichen Überschusses von Fr. 325.70 liege keine Mittellosigkeit in dem Sinne vor, als dass die Klägerin nicht in der Lage wäre, die mutmasslichen Prozesskosten von Fr. 450.– binnen eines Jahres zu tilgen (Urk. 2 S. 2 f.). Die Vorinstanz führte weiter aus, dass die Ansprüche des Gesuchstellers gegenüber seiner Rechtsschutzversicherung den Ansprüchen gegenüber dem Staat auf unentgeltliche Rechtspflege vorgehen würden. Die Klägerin hätte mit ei- ner belegbaren Anfrage dartun müssen, weshalb ihre Rechtsschutzversicherung nicht für die Prozesskosten aufkomme (Urk. 2 S. 3).</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4</w:t>
      </w:r>
    </w:p>
    <w:p>
      <w:r>
        <w:t>Soweit die als "Ergänzung zur falschen Berechnung" bezeichnete Be- schwerde der Klägerin diesen formellen Anforderungen überhaupt genügt, ist sie unbegründet. So macht die Klägerin einerseits sinngemäss geltend, die Vorin- stanz habe die Stromkosten von Fr. 47.35 und die Zusatzversicherung von Fr. 28.70 bei der Bedarfsrechnung nicht berücksichtigt (Urk. 1). Dies, obwohl die Vorinstanz – wie oben dargelegt – zutreffend ausführte, dass die Stromkosten im Grundbetrag enthalten seien und dass die Zusatzversicherung im Bedarf der Klä-</w:t>
      </w:r>
    </w:p>
    <w:p>
      <w:r>
        <w:t>- 4 - gerin angerechnet werde. Die Klägerin setzt sich diesbezüglich nicht mit dem vo- rinstanzlichen Entscheid auseinander. Andererseits rügt die Klägerin, dass sie bei privaten Kreditgebern verschuldet sei und einen Verlustschein habe (Urk. 1). Ge- mäss Rechtsprechung sind Schulden nur zu berücksichtigen, wenn die regelmäs- sige Bezahlung in Vergangenheit und Zukunft nachgewiesen ist; alte Schulden, die der Gesuchsteller nicht mehr tilgt, bleiben ausser Acht (BGer 5A_331/2016 vom 29. November 2016, E. 3.2.1 und 3.2.3; BGer 5A_810/2011 vom 7. Februar 2012, E. 2.3). Die Klägerin hat weder vor Vorinstanz noch im Beschwerdeverfah- ren geltend gemacht, dass sie die Privatdarlehen am Zurückzahlen sei. Dass aus diesen Privatdarlehen ein Verlustschein resultierte, ist sodann eine neue Tatsa- chenbehauptung samt neuen Beweismitteln (vgl. Urk. 3/4 [teilweise] und Urk. 3/5), was aufgrund des umfassenden Novenverbots im Beschwerdeverfahren nicht be- rücksichtigt werden kann (Art. 326 Abs. 1 ZPO). Gleiches gilt für die erst im Be- schwerdeverfahren eingereichten E-Mails der … Rechtsschutzversicherung (vgl. Urk. 3/6+7) sowie die erst mit der Beschwerdeschrift geltend gemachten Anwalts- kosten von monatlich EUR 800.– für einen französischen Anwalt (Urk. 3/8+9; Urk. 1). Sie können als Noven nicht berücksichtigt werden. Zusammenfassend weist die Klägerin in der Beschwerdeschrift keinen Beschwerdegrund (vgl. dazu oben Ziff. 3) nach. Die Beschwerde ist deshalb abzuweisen, soweit darauf einzu- treten ist.</w:t>
      </w:r>
    </w:p>
    <w:p>
      <w:r>
        <w:rPr>
          <w:b/>
        </w:rPr>
        <w:t>E. 5</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der Klägerin die von ihr beantragte unent- geltliche Rechtspflege für das zweitinstanzliche Verfahren nicht gewährt werden kann. 6.1. Die zweitinstanzliche Entscheidgebühr ist in Anwendung von § 9 Abs. 1 in Verbindung mit § 12 GebV OG auf Fr. 300.– festzusetzen und ausgangsgemäss der Klägerin aufzuerlegen (Art. 106 Abs. 1 ZPO), zumal die Kostenfreiheit gemäss Art. 119 Abs. 6 ZPO nur für das erstinstanzliche (Gesuchs-) Verfahren, nicht aber</w:t>
      </w:r>
    </w:p>
    <w:p>
      <w:r>
        <w:t>- 5 - für das Rechtsmittelverfahren gilt (BGE 137 III 470 E. 6.5.5; BGE 140 III 501 E. 4.3.2). 6.2. Für das Beschwerdeverfahren sind keine Parteientschädigungen zuzuspre- chen, der Klägerin zufolge ihres Unterliegens (Art. 106 Abs. 1 ZPO), dem Be- schwerdegegner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