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PP210069 vom 3. Januar 2022</w:t>
      </w:r>
    </w:p>
    <w:p>
      <w:r>
        <w:t>ZH Obergericht, 2022-01-03, DE</w:t>
      </w:r>
    </w:p>
    <w:p>
      <w:r>
        <w:rPr>
          <w:b/>
        </w:rPr>
        <w:t xml:space="preserve">Quelle: </w:t>
      </w:r>
      <w:r>
        <w:t>https://mcp.opencaselaw.ch/entscheid/zh_obergericht_PP210069</w:t>
      </w:r>
    </w:p>
    <w:p>
      <w:r>
        <w:t>FR: ZH_OBERGERICHT PP210069 du 3 janvier 2022</w:t>
      </w:r>
    </w:p>
    <w:p>
      <w:r>
        <w:t>IT: ZH_OBERGERICHT PP210069 del 3 gennaio 2022</w:t>
      </w:r>
    </w:p>
    <w:p>
      <w:pPr>
        <w:pStyle w:val="Heading2"/>
      </w:pPr>
      <w:r>
        <w:t>Erwägungen</w:t>
      </w:r>
    </w:p>
    <w:p>
      <w:r>
        <w:rPr>
          <w:b/>
        </w:rPr>
        <w:t>E. 10</w:t>
      </w:r>
    </w:p>
    <w:p>
      <w:r>
        <w:t>Tage (Art. 321 Abs. 2 ZPO). Die Vorinstanz stellte die angefochtene Verfügung der Beschwerdeführerin am 8. Dezember 2021 zu (act. 5/37/1). Die Adressatin erhob am 20. Dezember 2021 Beschwerde (Datum Poststempel; act. 2 S. 1). Un- ter Berücksichtigung der Weihnachtsgerichtsferien, die vom 18. Dezember bis und mit dem 2. Januar dauern (Art. 145 Abs. 1 lit. c ZPO), ist ihr Rechtsmittel da- her als rechtzeitig eingereicht entgegenzunehmen. 2. 2.1. Prozessleitende Verfügungen können gemäss Art. 319 lit. b ZPO bloss in zwei Situationen selbstständig angefochten werden: (1.) in den vom Gesetz be- stimmten Fällen; oder (2.) wenn durch sie ein nicht leicht wiedergutzumachender Nachteil droht. Ist keine dieser beiden Voraussetzungen erfüllt, kann die Partei die prozessleitende Verfügung erst zusammen mit dem Endentscheid anfechten (CHK-Sutter-Somm/Seiler, Art. 319 ZPO N 14). Die Beurteilung, ob ein qualifizier- ter Nachteil im Sinne von Art. 319 lit. b Ziff. 2 ZPO droht oder nicht, liegt dabei im pflichtgemässen Ermessen des Gerichts (DIKE-Komm-Blickenstorfer, 2. Aufl., Art. 319 ZPO N 40).</w:t>
      </w:r>
    </w:p>
    <w:p>
      <w:r>
        <w:t>- 5 - 2.2. Die Zivilprozessordnung unterstellt weder die Vorladung noch die Beweis- verfügung der Beschwerde. Entsprechend ist im Folgenden zu prüfen, ob der Be- schwerdeführerin durch diese beiden Anordnungen ein nicht leicht wiedergutzu- machender Nachteil droht. Ein solcher Nachteil kann sowohl rechtlicher wie auch tatsächlicher Art sein (OGer ZH, PC210002 vom 22. Februar 2021, E. 3.2; grund- legend die entsprechende Literatur und Rechtsprechung zusammenfassend AppGer BS, BEZ.2019.70 vom 11. Dezember 2019, E. 1.1.1). Tatsächliche Nach- teile müssen eine gewisse Intensität aufweisen. Die Beweislast für das Vorliegen eines solchen Nachteils trägt dabei die beschwerdeführende Partei, soweit die Gefahr nicht von vornherein offenkundig ist (OGer ZH, PS200185 vom 9. Oktober 2020, E. 3). Die beschwerdeführende Partei hat in ihrer Rechtsschrift darzulegen, inwiefern ihr ein nicht leicht wiedergutzumachender Nachteil droht. Dies umfasst einerseits eine genaue Umschreibung des mit der prozessleitenden Verfügung verbundenen erheblichen Nachteils. Andererseits bedingt dies Ausführungen zur Frage, weshalb sich dieser Nachteil später nicht mehr leicht wiedergutmachen liesse (CHK-Sutter-Somm/Seiler, Art. 319 ZPO N 15). 3. 3.1. Die Beschwerdeführerin zeigt nicht auf, weshalb ihr durch eine Hauptver- handlung und/oder eine Zeugeneinvernahme ein Nachteil droht. Sie äussert sich überhaupt nicht zu den Folgen dieser beiden prozessleitenden Anordnungen. Mangels einer ausreichenden Begründung ist daher auf ihr Rechtsmittel nicht ein- zutreten. 3.2. Unbeachtlich sind im vorliegenden Zusammenhang ihre Ausführungen, wonach die Beschwerdegegnerin mangels eines Verwalters nicht handlungsfähig sei (act. 2 S. 2). Es steht der Beschwerdeführerin frei, den Einwand der fehlenden Vertretungsmacht von D._____ im Verfahren FV210210 zu erheben. Das Einzel- gericht, 10. Abteilung, wird sich dann damit befassen. Selbst wenn sich dabei herausstellen sollte, dass das Handeln von D._____ keine Rechtswirkungen zei- tigte, bliebe die im vorliegenden Verfahren angefochtene Verfügung vom 30. November 2021 trotzdem verbindlich. Eine Vorladung ist nicht nur schon des- halb ungültig, weil die klagende Partei keinen Anspruch auf den eingeklagten</w:t>
      </w:r>
    </w:p>
    <w:p>
      <w:r>
        <w:t>- 6 - Streitgegenstand hat. Es ist vielmehr gerade der Zweck einer Hauptverhandlung und einer Zeugeneinvernahme herauszufinden, ob der behauptete Anspruch be- steht. Nähme das Gericht diesen Entscheid bereits in ihrer Vorladungsverfügung vorweg, verlöre die Hauptverhandlung jede Bedeutung. 3.3. Soweit die Beschwerdeführer mit ihrem Rechtsmittel schliesslich sinnge- mäss eine Aufhebung der Sistierung des Verfahrens ES210013 beim Einzelge- richt Audienz bezweckt, ist Folgendes zu bemerken: Die Beschwerdeführerin hat mit separater Rechtsverzögerungsbeschwerde die Sistierung dieses audienzge- richtlichen Verfahrens angefochten (act. 2 in PP210067). Ein und derselbe Streit- gegenstand kann nicht Thema zweier gleichzeitiger Rechtsmittelverfahren bilden. Dies ergibt sich aus Art. 59 Abs. 2 lit. d ZPO, wonach sich ein Gericht nur mit ei- ner Klage befassen darf, wenn die Angelegenheit nicht bereits anderweitig rechtshängig ist. Ob das Einzelgericht Audienz die Sistierung des Verfahrens ES210013 zu Recht aufrechterhält oder nicht, ist daher ausschliesslich im zuerst anhängig gemachten Beschwerdeverfahren PP210067 zu entscheiden. Entspre- chend ist auch diesbezüglich auf die Beschwerde nicht einzutreten. 4. Nach dem Gesagten ist auf die Beschwerde nicht einzutreten. 5. 5.1. Die Beschwerdeführerin unterliegt im vorliegenden Rechtsmittelverfahren vollumfänglich. Ausgangsgemäss sind ihr deshalb die Prozesskosten aufzuerle- gen (Art. 106 Abs. 1 Satz 1 ZPO). Die Höhe der Gerichtsgebühr bestimmt sich in einer vermögensrechtlichen Angelegenheit nach dem Streitwert. Der Streitwert beläuft sich hier auf Fr. 27'954.15 (vgl. act. 5/2, act. 5/32 und act. 5/33 in PP210067). Folglich beträgt die ordentliche Gerichtsgebühr Fr. 3'786.35 (Fr. 3'150.– + Fr. 636.35). Die Beschwerde richtet sich bloss gegen eine prozess- leitende Verfügung, weshalb die Gerichtsgebühr angemessen zu reduzieren ist. In Anwendung von § 12 Abs. 1 in Verbindung mit § 4 Abs. 2 GebV OG ist die Ge- richtsgebühr auf Fr. 500.– festzusetzen.</w:t>
      </w:r>
    </w:p>
    <w:p>
      <w:r>
        <w:t>- 7 - 5.2. Als unterliegende Partei hat die Beschwerdeführerin keinen Anspruch auf eine Umtriebsentschädigung. Der Beschwerdegegnerin ist durch das vorliegende Verfahren kein nennenswerter Aufwand entstanden. Entsprechend ist auch ihr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