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PP210046 vom 4. Januar 2022</w:t>
      </w:r>
    </w:p>
    <w:p>
      <w:r>
        <w:t>ZH Obergericht, 2022-01-04, DE</w:t>
      </w:r>
    </w:p>
    <w:p>
      <w:r>
        <w:rPr>
          <w:b/>
        </w:rPr>
        <w:t xml:space="preserve">Quelle: </w:t>
      </w:r>
      <w:r>
        <w:t>https://mcp.opencaselaw.ch/entscheid/zh_obergericht_PP210046</w:t>
      </w:r>
    </w:p>
    <w:p>
      <w:r>
        <w:t>FR: ZH_OBERGERICHT PP210046 du 4 janvier 2022</w:t>
      </w:r>
    </w:p>
    <w:p>
      <w:r>
        <w:t>IT: ZH_OBERGERICHT PP210046 del 4 gennaio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Rechtsvorschlag in der Betreibung Nr. 1 des Betreibungsam- tes Pfäffikon/ZH sei aufzuheben.</w:t>
      </w:r>
    </w:p>
    <w:p>
      <w:r>
        <w:rPr>
          <w:b/>
        </w:rPr>
        <w:t>E. 3</w:t>
      </w:r>
    </w:p>
    <w:p>
      <w:r>
        <w:t>Unter Kosten- und Entschädigungsfolge zu Lasten der beklagten Partei." 1.2. Nach durchgeführtem Verfahren (vgl. zur Prozessgeschichte act. 10 = act. 17A = act. 18 E. I.) fällte die Vorinstanz am 4. Februar 2021 folgendes Urteil (act. 18 S. 10):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