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PP210038 vom 19. April 2022</w:t>
      </w:r>
    </w:p>
    <w:p>
      <w:r>
        <w:t>ZH Obergericht, 2022-04-19, DE</w:t>
      </w:r>
    </w:p>
    <w:p>
      <w:r>
        <w:rPr>
          <w:b/>
        </w:rPr>
        <w:t xml:space="preserve">Quelle: </w:t>
      </w:r>
      <w:r>
        <w:t>https://mcp.opencaselaw.ch/entscheid/zh_obergericht_PP210038</w:t>
      </w:r>
    </w:p>
    <w:p>
      <w:r>
        <w:t>FR: ZH_OBERGERICHT PP210038 du 19 avril 2022</w:t>
      </w:r>
    </w:p>
    <w:p>
      <w:r>
        <w:t>IT: ZH_OBERGERICHT PP210038 del 19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Sachverhaltsübersicht und Prozessgeschichte</w:t>
      </w:r>
    </w:p>
    <w:p>
      <w:r>
        <w:rPr>
          <w:b/>
        </w:rPr>
        <w:t>E. 1.1</w:t>
      </w:r>
    </w:p>
    <w:p>
      <w:r>
        <w:t>Der Beklagte und Beschwerdeführer (nachfolgend: Beklagter) war bis zum Konkurs der C._____ AG (nachfolgend: Konkursitin) von dieser als Devisenhänd- ler und Vermögensverwalter angestellt. Er war zudem unbestrittenermassen (zu- mindest) Geschäftsführer der Konkursitin.</w:t>
      </w:r>
    </w:p>
    <w:p>
      <w:r>
        <w:rPr>
          <w:b/>
        </w:rPr>
        <w:t>E. 1.2</w:t>
      </w:r>
    </w:p>
    <w:p>
      <w:r>
        <w:t>Im Streit liegt die Kollokation von vier Forderungen des Beklagten in der Höhe von Fr. 379'004.03, welche in der 3. Klasse kolloziert wurden. Hierbei han- delt es sich um Lohnforderungen aus den Jahren 2017 bis 2019 sowie um eine Forderung aus einem Kontokorrentverhältnis. Die Klägerin und Beschwerdegeg- nerin (nachfolgend: Klägerin) reichte gegen diese Forderungen eine negative Kol- lokationsklage vom 15. Oktober 2020 mit folgenden Rechtsbegehren ein (act. 1, um das Eventualbegehren erweitert in act. 32 i.V.m. Prot. Vi S. 23): " Es seien die im Konkurs über die C._____ AG in Liquidation, D._____ [Strasse] …, … Zürich, (Konkurs Nr. 1) beim Konkursamt Enge-Zürich angemeldeten und in der 3. Klasse kollozierten Forderungen des Be- klagten von CHF 30'555.90 (Ord.-Nr. 12), CHF 135'000.00 (Ord.- Nr. 17), CHF 150'909.40 (Ord.-Nr. 22) und CHF 62'538.73 (Ord.- Nr. 27) im Kollokationsplan als unbegründet zu streichen, unter Kosten- und Entschädigungsfolgen (zzgl. 7.7% MWST) zulasten des Beklagten. Eventualiter seien die im Konkurs über die C._____ AG in Liquidation, D._____ …, … Zürich, (Konkurs Nr. 1) beim Konkursamt Enge-Zürich angemeldeten und in der 3. Klasse kollozierten Forderungen des Be- klagten von CHF 30'555.90 (Ord.-Nr. 12), CHF 135'000.00 (Ord.-Nr. 17), CHF 150'909.40 (Ord.-Nr. 22) und CHF 62'538.73 (Ord.-Nr. 27) im Kollokationsplan lediglich als Forderungen im Rangrücktritt zuzulassen, unter Kosten- und Entschädigungsfolgen (zzgl. 7.7% MWST) zulasten des Beklagten."</w:t>
      </w:r>
    </w:p>
    <w:p>
      <w:r>
        <w:rPr>
          <w:b/>
        </w:rPr>
        <w:t>E. 1.3</w:t>
      </w:r>
    </w:p>
    <w:p>
      <w:r>
        <w:t>Für die Einzelheiten der vorinstanzlichen Prozessgeschichte kann auf den angefochtenen Entscheid verwiesen werden (vgl. act. 43 E. I./1–4).</w:t>
      </w:r>
    </w:p>
    <w:p>
      <w:r>
        <w:rPr>
          <w:b/>
        </w:rPr>
        <w:t>E. 1.4</w:t>
      </w:r>
    </w:p>
    <w:p>
      <w:r>
        <w:t>Mit Urteil vom 17. Juni 2021 (act. 34 = act. 43 [Aktenexemplar], nachfol- gend zit. als act. 43) hiess das Einzelgericht für SchKG-Klagen des Bezirksge- richts Zürich (nachfolgend: Vorinstanz) die Klage vollumfänglich gut, indem es wie folgt erkannte: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