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PP200050 vom 31. März 2021</w:t>
      </w:r>
    </w:p>
    <w:p>
      <w:r>
        <w:t>ZH Obergericht, 2021-03-31, DE</w:t>
      </w:r>
    </w:p>
    <w:p>
      <w:r>
        <w:rPr>
          <w:b/>
        </w:rPr>
        <w:t xml:space="preserve">Quelle: </w:t>
      </w:r>
      <w:r>
        <w:t>https://mcp.opencaselaw.ch/entscheid/zh_obergericht_PP200050</w:t>
      </w:r>
    </w:p>
    <w:p>
      <w:r>
        <w:t>FR: ZH_OBERGERICHT PP200050 du 31 mars 2021</w:t>
      </w:r>
    </w:p>
    <w:p>
      <w:r>
        <w:t>IT: ZH_OBERGERICHT PP200050 del 31 marzo 2021</w:t>
      </w:r>
    </w:p>
    <w:p>
      <w:pPr>
        <w:pStyle w:val="Heading2"/>
      </w:pPr>
      <w:r>
        <w:t>Erwägungen</w:t>
      </w:r>
    </w:p>
    <w:p>
      <w:r>
        <w:rPr>
          <w:b/>
        </w:rPr>
        <w:t>E. 3</w:t>
      </w:r>
    </w:p>
    <w:p>
      <w:r>
        <w:t>Die Kosten für das zweitinstanzliche Verfahren werden der Klägerin aufer- legt.</w:t>
      </w:r>
    </w:p>
    <w:p>
      <w:r>
        <w:rPr>
          <w:b/>
        </w:rPr>
        <w:t>E. 4</w:t>
      </w:r>
    </w:p>
    <w:p>
      <w:r>
        <w:t>Für das zweitinstanzliche Verfahren werden keine Parteientschädigungen zugesprochen.</w:t>
      </w:r>
    </w:p>
    <w:p>
      <w:r>
        <w:rPr>
          <w:b/>
        </w:rPr>
        <w:t>E. 5</w:t>
      </w:r>
    </w:p>
    <w:p>
      <w:r>
        <w:t>Schriftliche Mitteilung an die Parteien, an die Beklagte unter Beilage eines Doppels von Urk. 34,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2'180.92. Die Beschwerde an das Bundesgericht hat keine aufschiebende Wirkung. Hinsichtlich des Fristenlaufs gelten die Art. 44 ff. BGG.</w:t>
      </w:r>
    </w:p>
    <w:p>
      <w:r>
        <w:t>- 9 - Zürich, 31. März 2021 Obergericht des Kantons Zürich I. Zivilkammer Die Vorsitzende: Der Gerichtsschreiber: Dr. D. Scherrer MLaw M. Wild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