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PP200028 vom 14. Dezember 2020</w:t>
      </w:r>
    </w:p>
    <w:p>
      <w:r>
        <w:t>ZH Obergericht, 2020-12-14, DE</w:t>
      </w:r>
    </w:p>
    <w:p>
      <w:r>
        <w:rPr>
          <w:b/>
        </w:rPr>
        <w:t xml:space="preserve">Quelle: </w:t>
      </w:r>
      <w:r>
        <w:t>https://mcp.opencaselaw.ch/entscheid/zh_obergericht_PP200028</w:t>
      </w:r>
    </w:p>
    <w:p>
      <w:r>
        <w:t>FR: ZH_OBERGERICHT PP200028 du 14 décembre 2020</w:t>
      </w:r>
    </w:p>
    <w:p>
      <w:r>
        <w:t>IT: ZH_OBERGERICHT PP200028 del 14 dicembre 2020</w:t>
      </w:r>
    </w:p>
    <w:p>
      <w:pPr>
        <w:pStyle w:val="Heading2"/>
      </w:pPr>
      <w:r>
        <w:t>Erwägungen</w:t>
      </w:r>
    </w:p>
    <w:p>
      <w:r>
        <w:rPr>
          <w:b/>
        </w:rPr>
        <w:t>E. 1</w:t>
      </w:r>
    </w:p>
    <w:p>
      <w:r>
        <w:t>Mit Eingabe vom 18. Juni 2020 (act. 1) machte die Klägerin und Beschwer- deführerin (nachfolgend: Klägerin) beim Bezirksgericht Zürich, Einzelgericht für SchKG-Klagen (nachfolgend: Vorinstanz) folgende Begehren anhängig: " 1 - Es sei festzustellen, dass die gestellte Forderung der Beklagten, gegenüber die Klägerin in der Hohe von CHF 73.30 plus CHF 21.00 plus CHF 7.00 plus CHF 28.00 und CHF 7.00 plus Mahngebuhren vom 223.00 und Betreibungskosten von CHF 33.30 nicht bestehen.</w:t>
      </w:r>
    </w:p>
    <w:p>
      <w:r>
        <w:rPr>
          <w:b/>
        </w:rPr>
        <w:t>E. 2</w:t>
      </w:r>
    </w:p>
    <w:p>
      <w:r>
        <w:t>Betreibung ... ist für nichtig zu erklären aufzuheben.</w:t>
      </w:r>
    </w:p>
    <w:p>
      <w:r>
        <w:rPr>
          <w:b/>
        </w:rPr>
        <w:t>E. 3</w:t>
      </w:r>
    </w:p>
    <w:p>
      <w:r>
        <w:t>Das Betreibungsamt Kreis 7 ist aufzufordern, Betreibung ... im Betreibungsregister zu löschen.</w:t>
      </w:r>
    </w:p>
    <w:p>
      <w:r>
        <w:rPr>
          <w:b/>
        </w:rPr>
        <w:t>E. 4</w:t>
      </w:r>
    </w:p>
    <w:p>
      <w:r>
        <w:t>Aufschiebende Wirkung ist zu erteilen.</w:t>
      </w:r>
    </w:p>
    <w:p>
      <w:r>
        <w:rPr>
          <w:b/>
        </w:rPr>
        <w:t>E. 5</w:t>
      </w:r>
    </w:p>
    <w:p>
      <w:r>
        <w:t>Die Vorinstanz begründete ihren Abschreibungsentscheid mit dem Erforder- nis einer hängigen Betreibung für eine Klage nach Art. 85a SchKG. Durch den Rückzug der Betreibung Nr. ... des Betreibungsamtes Zürich 7 sei diese Prozess- voraussetzung nicht mehr gegeben, weswegen das Verfahren als gegenstandslos abzuschreiben sei (act. 26 E. II.1 f.).</w:t>
      </w:r>
    </w:p>
    <w:p>
      <w:r>
        <w:t>- 4 -</w:t>
      </w:r>
    </w:p>
    <w:p>
      <w:r>
        <w:rPr>
          <w:b/>
        </w:rPr>
        <w:t>E. 6</w:t>
      </w:r>
    </w:p>
    <w:p>
      <w:r>
        <w:t>Die Klägerin beanstandet in ihrer Beschwerdeschrift im Wesentlichen und soweit für die Beurteilung ihrer Beschwerde von Belang, die Beklagte habe die Löschung der Betreibung im Betreibungsregister nie bestätigt. Eine Betreibung könne nur gelöscht werden, wenn sie vom Gläubiger zurückgezogen oder durch ein Gericht gelöscht worden sei.</w:t>
      </w:r>
    </w:p>
    <w:p>
      <w:r>
        <w:rPr>
          <w:b/>
        </w:rPr>
        <w:t>E. 7</w:t>
      </w:r>
    </w:p>
    <w:p>
      <w:r>
        <w:t>Am zu beurteilenden Verfahren war das Betreibungsamt Zürich 7 einerseits als Vertreterin der Beklagten und andererseits als das für die streitgegenständli- che Betreibung zuständige Betreibungsamt beteiligt. Mit Eingabe vom 6. August 2020 (act.16) hat es eine Protokollierung der "Abstellung der Betreibung" in Aus- sicht gestellt. Die Vorinstanz fasste diese Erklärung zu Recht als Kundgabe des Rückzuges der Betreibung auf und liess sich dies ausserdem telefonisch bestäti- gen (vgl. Telefonnotiz vom 7. August 2020, act. 18). Damit hat das Betreibungs- amt Zürich 7 als Vertreterin der Beklagten den Rückzug der Betreibung wirksam erklärt. In der Folge war der Rückzug lediglich noch am Betreibungsregister nach- zuführen. Dass dies in der Folge unterlassen worden wäre, wurde von der Kläge- rin beschwerdeweise nicht behauptet und ist im Übrigen nicht anzunehmen. Die Vorinstanz durfte daher von einem wirksamen Rückzug der Betreibung Nr. ... des Betreibungsamtes Zürich 7 ausgehen. Sie hat sodann die prozessualen Auswir- kungen des Rückzugs der betreffenden Betreibung auf die Klage nach Art. 85a SchKG zutreffend erkannt und folgerichtig ihr Verfahren durch Abschreibung we- gen Gegenstandlosigkeit erledigt. Daran ist, entgegen der Klägerin, nichts zu kriti- sieren.</w:t>
      </w:r>
    </w:p>
    <w:p>
      <w:r>
        <w:rPr>
          <w:b/>
        </w:rPr>
        <w:t>E. 8</w:t>
      </w:r>
    </w:p>
    <w:p>
      <w:r>
        <w:t>Anzumerken ist ferner, dass die Klägerin mit dem Abschreibungsentscheid gemäss Mitteilungssatz und dem dafür ausgestellten Empfangsschein (act. 20) ein Doppel der Eingabe der Beklagten vom 6. August 2020 (act. 16) erhalten hat. Angesichts dessen ist nicht nachvollziehbar, wieso sie vorbringt, es finde sich kei- ne Kopie des Rückzugs in den Akten der Vorinstanz.</w:t>
      </w:r>
    </w:p>
    <w:p>
      <w:r>
        <w:rPr>
          <w:b/>
        </w:rPr>
        <w:t>E. 9</w:t>
      </w:r>
    </w:p>
    <w:p>
      <w:r>
        <w:t>Zuletzt ist die Klägerin darauf hinzuweisen, dass eine "Löschung" von Be- treibungsregistereinträgen, auch wenn dieser Begriff teils unzutreffenden Ge- brauch findet, nicht gesetzlich vorgesehen ist und eine solche weder durch das Betreibungsamt noch ein Gericht vorgenommen werden kann. Jedoch sieht</w:t>
      </w:r>
    </w:p>
    <w:p>
      <w:r>
        <w:t>- 5 - Art. 8a Abs. 3 SchKG gesetzliche Gründe für eine Einschränkung des Einsichts- rechts von Drittpersonen in das Betreibungsregister vor. Liegt einer dieser Gründe vor, so wird die entsprechende Betreibung ohne Weiteres vom Betreibungsamt gegenüber Dritten nicht mehr im Auszug mitgeteilt. Dies ist, unter anderem, dann der Fall, wenn der Gläubiger die Betreibung zurückgezogen hat (Art. 8a Abs. 3 lit. c SchKG). Daher wird das Betreibungsamt Zürich 7, wie es dies selber erklärt hat (vgl. act. 16 S. 2), Dritten gegenüber die streitgegenständliche Betreibung ins- künftig nicht mehr bekannt geben.</w:t>
      </w:r>
    </w:p>
    <w:p>
      <w:r>
        <w:rPr>
          <w:b/>
        </w:rPr>
        <w:t>E. 10</w:t>
      </w:r>
    </w:p>
    <w:p>
      <w:r>
        <w:t>Nach dem Gesagten sind die Beanstandungen der Klägerin am vorinstanzli- chen Entscheid nicht stichhaltig. Ihre Beschwerde ist abzuweisen. Der Antrag um Erteilung der aufschiebenden Wirkung der vorliegenden Beschwerde wird damit gegenstandslos.</w:t>
      </w:r>
    </w:p>
    <w:p>
      <w:r>
        <w:rPr>
          <w:b/>
        </w:rPr>
        <w:t>E. 11</w:t>
      </w:r>
    </w:p>
    <w:p>
      <w:r>
        <w:t>Ausgangsgemäss wird die Klägerin für das Beschwerdeverfahren kosten- pflichtig. Der Streitwert in der Sache beträgt rund Fr. 360.–. In Anwendung von § 4 Abs. 1 und Abs. 2 sowie §12 Abs. 1 und Abs. 2 GebV OG ist die zweitinstanz- liche Entscheidgebühr auf Fr. 150.– festzusetzen. Entschädigungen sind keine zuzusprechen. Der Klägerin nicht, weil sie unterliegt, der Beklagten nicht, weil ihr durch das Beschwerdeverfahren keine entschädigungspflichtigen Aufwendungen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