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PP200005 vom 7. Oktober 2020</w:t>
      </w:r>
    </w:p>
    <w:p>
      <w:r>
        <w:t>ZH Obergericht, 2020-10-07, DE</w:t>
      </w:r>
    </w:p>
    <w:p>
      <w:r>
        <w:rPr>
          <w:b/>
        </w:rPr>
        <w:t xml:space="preserve">Quelle: </w:t>
      </w:r>
      <w:r>
        <w:t>https://mcp.opencaselaw.ch/entscheid/zh_obergericht_PP200005</w:t>
      </w:r>
    </w:p>
    <w:p>
      <w:r>
        <w:t>FR: ZH_OBERGERICHT PP200005 du 7 octobre 2020</w:t>
      </w:r>
    </w:p>
    <w:p>
      <w:r>
        <w:t>IT: ZH_OBERGERICHT PP200005 del 7 ottobre 2020</w:t>
      </w:r>
    </w:p>
    <w:p>
      <w:pPr>
        <w:pStyle w:val="Heading2"/>
      </w:pPr>
      <w:r>
        <w:t>Erwägungen</w:t>
      </w:r>
    </w:p>
    <w:p>
      <w:r>
        <w:rPr>
          <w:b/>
        </w:rPr>
        <w:t>E. 1</w:t>
      </w:r>
    </w:p>
    <w:p>
      <w:r>
        <w:t>Am 18. November 2010 schlossen die Parteien einen Internet-System- Vertrag, mit dem sich die Rechtsvorvorgängerin der Klägerin verpflichtet hatte, dem Beklagten einen Internet-Auftritt zu gestalten, laufend zu unterhalten und die Systemleistung "Premium Plus" zu erbringen zu einem monatlichen Entgelt von Fr. 322.80. Der Vertrag wurde für eine feste Dauer von 48 Monaten abgeschlos- sen (Urk. 4/3). Nach diverser Korrespondenz zwischen der Rechtsvorvorgängerin der Klägerin und dem Beklagten trat erstere mit Schreiben vom 25. Juli 2011 in- folge Verletzung der vertraglichen Mitwirkungspflicht des Beklagten vom Vertrag zurück und stellte Rechnung (Urk. 4/5, Blatt 4).</w:t>
      </w:r>
    </w:p>
    <w:p>
      <w:r>
        <w:rPr>
          <w:b/>
        </w:rPr>
        <w:t>E. 2</w:t>
      </w:r>
    </w:p>
    <w:p>
      <w:r>
        <w:t>Mit Eingabe vom 11. April 2019 und unter Einreichung der Klagebewilligung des Friedensrichteramts C._____, reichte die Rechtsvorgängerin der Klägerin und Beschwerdeführerin (fortan Klägerin) die vorliegende Klage über Fr. 3'873.60 zu- züglich Verzugszins ein (Urk. 1 und Urk. 2 S. 2). Für den genauen Prozessverlauf kann auf den angefochtenen Entscheid verwiesen werden (Urk. 31 S. 2 f.). Am 15. November 2019 fällte die Vorinstanz ihren Entscheid, mit dem sie - unter Kos- tenfolgen zu Lasten der Klägerin - auf die Klage mangels örtlicher Zuständigkeit nicht eintrat. Die Verfügung erging zunächst in unbegründeter Form (Urk. 16) und auf Begehren der Klägerin in begründeter Form (Urk. 26 = Urk. 31).</w:t>
      </w:r>
    </w:p>
    <w:p>
      <w:r>
        <w:rPr>
          <w:b/>
        </w:rPr>
        <w:t>E. 3</w:t>
      </w:r>
    </w:p>
    <w:p>
      <w:r>
        <w:t>Der Beklagte sei zu verpflichten, der Klägerin für das Beschwerdeverfahren eine nach Streitwert zu bemessende Parteientschädigung zu bezahlen.</w:t>
      </w:r>
    </w:p>
    <w:p>
      <w:r>
        <w:t>- 3 -</w:t>
      </w:r>
    </w:p>
    <w:p>
      <w:r>
        <w:rPr>
          <w:b/>
        </w:rPr>
        <w:t>E. 4</w:t>
      </w:r>
    </w:p>
    <w:p>
      <w:r>
        <w:t>In der Beschwerdeschrift der Klägerin fehlt ein Beschwerdeantrag in der Sa- che. Sie beantragt einzig die Aufhebung des Urteils und die Rückweisung der Sa- che an die Vorinstanz (Urk. 30 S. 2). Auch aus der Beschwerdebegründung lässt sich kein Antrag in der Sache erstellen. Die Klägerin verlangt weder in den Be- schwerdeanträgen noch in der Begründung die Gutheissung der Klage und bezif- fert ihren Antrag. Sie verlangt vielmehr, das Verfahren sei an die Vorinstanz zu- rückzuweisen und diese sei zu verpflichten, einen materiellen Entscheid zu fällen (Urk. 30 S. 7) bzw. das Verfahren betreffend die übrigen materiellen Punkte fort- zusetzen (Urk. 30 S. 8). Die Klägerin ist anwaltlich vertreten. Sie musste daher wissen, dass im Rahmen der Beschwerde im Sinne von Art. 319 ff. ZPO das Ge- richt die Befugnis hat, auch reformatorisch zu entscheiden (Art. 327 Abs. 3 ZPO); sie musste mit der Möglichkeit rechnen, dass die beschliessende Kammer bei Gutheissung der Beschwerde neu entscheidet, wenn die Sache spruchreif ist (Art. 327 Abs. 3 lit. b ZPO). Spruchreif ist die Streitsache, wenn die Beschwer- deinstanz über alle für einen Sachentscheid notwendigen Grundlagen verfügt und</w:t>
      </w:r>
    </w:p>
    <w:p>
      <w:r>
        <w:t>- 5 - kein weiteres Beweisverfahren notwendig ist (Freiburghaus/Afheldt, a.a.O., Art. 327 N 10). Von Spruchreife wäre vorliegend auszugehen gewesen. Die Vo- rinstanz beschränkte ihr Verfahren nämlich nicht auf die Frage der örtlichen Zu- ständigkeit. Sie führte die Hauptverhandlung vollständig durch, inklusive Parteibe- fragung (Prot. I S. 5 ff., S. 9 ff.). Der Sachverhalt steht auf Grund des erstinstanz- lich erhobenen Beweismaterials vollständig fest. Die Vorinstanz fällte zwar einen Nichteintretensentscheid, führte jedoch eine materielle Eventualbegründung an und erwog, selbst im Falle eines Eintretens durch das hiesige Gericht wäre die Klage abzuweisen (Urk. 31 S. 10 ff.). Bei dieser Sachlage durfte die Klägerin nicht davon ausgehen, dass nur ein kassatorischer Entscheid in Frage käme.</w:t>
      </w:r>
    </w:p>
    <w:p>
      <w:r>
        <w:rPr>
          <w:b/>
        </w:rPr>
        <w:t>E. 5</w:t>
      </w:r>
    </w:p>
    <w:p>
      <w:r>
        <w:t>Demnach liegt kein materieller Antrag für einen reformatorischen Entscheid vor, der zum Urteil erhoben werden könnte. Folglich ist auf die Beschwerde nicht einzutreten.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