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PP190049 vom 10. Dezember 2019</w:t>
      </w:r>
    </w:p>
    <w:p>
      <w:r>
        <w:t>ZH Obergericht, 2019-12-10, DE</w:t>
      </w:r>
    </w:p>
    <w:p>
      <w:r>
        <w:rPr>
          <w:b/>
        </w:rPr>
        <w:t xml:space="preserve">Quelle: </w:t>
      </w:r>
      <w:r>
        <w:t>https://mcp.opencaselaw.ch/entscheid/zh_obergericht_PP190049</w:t>
      </w:r>
    </w:p>
    <w:p>
      <w:r>
        <w:t>FR: ZH_OBERGERICHT PP190049 du 10 décembre 2019</w:t>
      </w:r>
    </w:p>
    <w:p>
      <w:r>
        <w:t>IT: ZH_OBERGERICHT PP190049 del 10 dicembre 2019</w:t>
      </w:r>
    </w:p>
    <w:p>
      <w:pPr>
        <w:pStyle w:val="Heading2"/>
      </w:pPr>
      <w:r>
        <w:t>Erwägungen</w:t>
      </w:r>
    </w:p>
    <w:p>
      <w:r>
        <w:rPr>
          <w:b/>
        </w:rPr>
        <w:t>E. 1</w:t>
      </w:r>
    </w:p>
    <w:p>
      <w:r>
        <w:t>Die A._____ GmbH (Klägerin und Beschwerdeführerin, nachfolgend Be- schwerdeführerin) erhob mit Eingabe vom 16. September 2019 beim Einzelgericht des Bezirksgerichtes Winterthur eine Forderungsklage gegen B._____ (Beklagter und Beschwerdegegner, nachfolgend Beschwerdegegner) ein (act. 4/1). In die- sem Verfahren verlangte das Einzelgericht von der Beschwerdeführerin mit Ver- fügung vom 2. Oktober 2019 die Leistung eines Kostenvorschusses für das Ver- fahren in Höhe von Fr. 1'200.-- (act. 4/4). Nachdem der Vorschuss innert Frist nicht geleistet worden war, wurde der Beschwerdeführerin mit Verfügung vom</w:t>
      </w:r>
    </w:p>
    <w:p>
      <w:r>
        <w:rPr>
          <w:b/>
        </w:rPr>
        <w:t>E. 4</w:t>
      </w:r>
    </w:p>
    <w:p>
      <w:r>
        <w:t>Die Beschwerdeführerin verlangt mit der Beschwerde eine Korrektur der Höhe des Kostenvorschusses und führt zusammengefasst aus, dass ihr der Vor- schuss von Fr. 1'200.-- im Verhältnis zur eingeklagten Forderung in Höhe von Fr. 5'478.30 plus 5 % Zins und Kosten sehr hoch erscheine, zumal für den Streit- wert eine Schuldanerkennung vorliege und es dem Beschwerdegegner nur um eine Verzögerung des betreibungsamtlichen Vollzugs gehe. Eigentlich habe ja die unterliegende Partei die Kosten zu tragen. Die Höhe stelle einen klaren Rechts- nachteil dar (act. 2). Auf welchen Betrag der Vorschuss nach Ansicht der Be- schwerdeführerin aber reduziert werden solle, lässt sich der Beschwerdeschrift insgesamt nicht entnehmen. Die Beschwerde genügt damit den rechtlichen Anfor- derungen nicht, weshalb darauf nicht einzutreten ist. Wie einfach sich der Fall erledigen lassen wird, steht noch nicht fest. Je nachdem könnte sich eine tiefere Entscheidgebühr als Fr. 1'200.-- ergeben. Als Vorschuss für ein Verfahren, dessen Verlauf noch völlig offen ist, sind die Fr. 1'200.-- tarifge- mäss begründbar und kaum übersetzt.</w:t>
      </w:r>
    </w:p>
    <w:p>
      <w:r>
        <w:t>- 4 -</w:t>
      </w:r>
    </w:p>
    <w:p>
      <w:r>
        <w:rPr>
          <w:b/>
        </w:rPr>
        <w:t>E. 5</w:t>
      </w:r>
    </w:p>
    <w:p>
      <w:r>
        <w:t>Da der Beschwerdeführerin mit Verfügung der Vorinstanz vom 4. Novem- ber 2019 bereits eine Nachfrist für die Leistung des Kostenvorschusses gemäss Art. 101 Abs. 3 ZPO angesetzt worden war und diese Frist mangels aufschieben- der Wirkung des Rechtsmittels zwischenzeitlich abgelaufen ist, ist der Beschwer- deführerin eine kurze letzte Fristerstreckung einzuräumen.</w:t>
      </w:r>
    </w:p>
    <w:p>
      <w:r>
        <w:rPr>
          <w:b/>
        </w:rPr>
        <w:t>E. 6</w:t>
      </w:r>
    </w:p>
    <w:p>
      <w:r>
        <w:t>Umständehalber ist auf die Erhebung von Gerichtskosten zu verzichten (Art. 107 Abs. 2 ZPO). Eine Prozessentschädigung an den Beschwerdegegner ist mangels ihm entstandener Umtriebe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