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PP190045 vom 20. Dezember 2019</w:t>
      </w:r>
    </w:p>
    <w:p>
      <w:r>
        <w:t>ZH Obergericht, 2019-12-20, DE</w:t>
      </w:r>
    </w:p>
    <w:p>
      <w:r>
        <w:rPr>
          <w:b/>
        </w:rPr>
        <w:t xml:space="preserve">Quelle: </w:t>
      </w:r>
      <w:r>
        <w:t>https://mcp.opencaselaw.ch/entscheid/zh_obergericht_PP190045</w:t>
      </w:r>
    </w:p>
    <w:p>
      <w:r>
        <w:t>FR: ZH_OBERGERICHT PP190045 du 20 décembre 2019</w:t>
      </w:r>
    </w:p>
    <w:p>
      <w:r>
        <w:t>IT: ZH_OBERGERICHT PP190045 del 20 dicembre 2019</w:t>
      </w:r>
    </w:p>
    <w:p>
      <w:pPr>
        <w:pStyle w:val="Heading2"/>
      </w:pPr>
      <w:r>
        <w:t>Erwägungen</w:t>
      </w:r>
    </w:p>
    <w:p>
      <w:r>
        <w:rPr>
          <w:b/>
        </w:rPr>
        <w:t>E. 1</w:t>
      </w:r>
    </w:p>
    <w:p>
      <w:r>
        <w:t>das Urteil des Bezirksgerichts Zürich vom 23. September 2019 (Geschäfts- Nr. FV180226-L / U aufzuheben,</w:t>
      </w:r>
    </w:p>
    <w:p>
      <w:r>
        <w:rPr>
          <w:b/>
        </w:rPr>
        <w:t>E. 2</w:t>
      </w:r>
    </w:p>
    <w:p>
      <w:r>
        <w:t>die Beklagte zu verpflichten, der Klägerin den Betrag in Höhe von CHF 2000.- nebst Zins zu 5 % seit dem 19.01.2016 zu bezahlen,</w:t>
      </w:r>
    </w:p>
    <w:p>
      <w:r>
        <w:rPr>
          <w:b/>
        </w:rPr>
        <w:t>E. 3</w:t>
      </w:r>
    </w:p>
    <w:p>
      <w:r>
        <w:t>Die Gerichtskosten des Beschwerdeverfahrens werden der Klägerin aufer- legt.</w:t>
      </w:r>
    </w:p>
    <w:p>
      <w:r>
        <w:t>- 8 -</w:t>
      </w:r>
    </w:p>
    <w:p>
      <w:r>
        <w:rPr>
          <w:b/>
        </w:rPr>
        <w:t>E. 4</w:t>
      </w:r>
    </w:p>
    <w:p>
      <w:r>
        <w:t>Für das Beschwerdeverfahren werden keine Parteientschädigungen zuge- sprochen.</w:t>
      </w:r>
    </w:p>
    <w:p>
      <w:r>
        <w:rPr>
          <w:b/>
        </w:rPr>
        <w:t>E. 5</w:t>
      </w:r>
    </w:p>
    <w:p>
      <w:r>
        <w:t>Schriftliche Mitteilung an die Parteien, an die Beklagte unter Beilage der Doppel von Urk. 35/A+B, 41, 42 und 43/1-7, sowie an die Vorinstanz, je ge- 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2'000.--. Die Beschwerde an das Bundesgericht hat keine aufschiebende Wirkung. Hinsichtlich des Fristenlaufs gelten die Art. 44 ff. BGG. Zürich, 20. Dezember 2019 Obergericht des Kantons Zürich I. Zivilkammer Der Gerichtsschreiber: lic. iur. F. Rieke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