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PP190040 vom 23. Januar 2020</w:t>
      </w:r>
    </w:p>
    <w:p>
      <w:r>
        <w:t>ZH Obergericht, 2020-01-23, DE</w:t>
      </w:r>
    </w:p>
    <w:p>
      <w:r>
        <w:rPr>
          <w:b/>
        </w:rPr>
        <w:t xml:space="preserve">Quelle: </w:t>
      </w:r>
      <w:r>
        <w:t>https://mcp.opencaselaw.ch/entscheid/zh_obergericht_PP190040</w:t>
      </w:r>
    </w:p>
    <w:p>
      <w:r>
        <w:t>FR: ZH_OBERGERICHT PP190040 du 23 janvier 2020</w:t>
      </w:r>
    </w:p>
    <w:p>
      <w:r>
        <w:t>IT: ZH_OBERGERICHT PP190040 del 23 gennaio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Es sei festzustellen, dass der Kläger [recte: die Klägerin] nicht Schuldner[in] der mit Betreibung Nr. … vom 30. April 2019 des Stadtammann- und Betreibungsamt[es] Zü- rich 9 betriebenen Forderung im Umfang von CHF 15'650.00 nebst Zinsen und Kos- ten ist.</w:t>
      </w:r>
    </w:p>
    <w:p>
      <w:r>
        <w:rPr>
          <w:b/>
        </w:rPr>
        <w:t>E. 1.2</w:t>
      </w:r>
    </w:p>
    <w:p>
      <w:r>
        <w:t>Nach Leistung des mit Verfügung vom 25. Juni 2019 verlangten Kos- tenvorschusses in der Höhe von Fr. 2'550.– (Urk. 3; Urk. 9) wurden die Parteien mit Verfügung vom 22. Juli 2019 auf den 20. August 2019 zur Verhandlung vorge- laden (Urk. 10/1-2). Hierauf teilte der Beklagte und Beschwerdegegner (fortan Beklagter) mit Schreiben vom 30. Juli 2019 mit, die Betreibung sei erledigt (Urk. 11-12). Gleichzeitig ersuchte er um Zusprechung einer Parteientschädigung in der Höhe von Fr. 1'000.– (Urk. 11). Auf entsprechende telefonische Nachfrage seitens der Vorinstanz teilte das Betreibungsamt Zürich 9 am 31. Juli 2019 mit, die Betreibung Nr. … sei gelöscht worden und auf dem Betreibungsregisteraus- zug nicht mehr ersichtlich (Urk. 13). Mit Schreiben vom 2. August 2019 liess sich die Klägerin unaufgefordert vernehmen und reichte weitere Unterlagen ein (Urk. 14-15/1-6). Sie verlangte die Abschreibung des Verfahrens zufolge Gegenstands- losigkeit und die Kostenauflage an den Beklagten, eventualiter Verzicht auf Kos- tenerhebung, subeventualiter Gewährung der unentgeltlichen Rechtspflege (Urk. 14 S. 2 f.). Mit Verfügung vom 5. August 2019 wies die Vorinstanz das Ge- such der Klägerin um Gewährung der unentgeltlichen Rechtspflege ab und ent- schied im Übrigen wie folgt (Urk. 16 S. 5 f. = Urk. 22 S. 5 f.):</w:t>
      </w:r>
    </w:p>
    <w:p>
      <w:r>
        <w:t>- 3 -</w:t>
      </w:r>
    </w:p>
    <w:p>
      <w:r>
        <w:rPr>
          <w:b/>
        </w:rPr>
        <w:t>E. 2</w:t>
      </w:r>
    </w:p>
    <w:p>
      <w:r>
        <w:t>Es sei sodann festzustellen, dass das Betreibungsverfahren ungerechtfertigterweise eingeleitet worden ist, weshalb Nichtigkeit besteht bzw. die Aufhebung desselbigen zu erklären ist.</w:t>
      </w:r>
    </w:p>
    <w:p>
      <w:r>
        <w:rPr>
          <w:b/>
        </w:rPr>
        <w:t>E. 3</w:t>
      </w:r>
    </w:p>
    <w:p>
      <w:r>
        <w:t>Das Stadtammann- und Betreibungsamt Zürich 9 sei anzuweisen, den Registerein- trag zu löschen resp. diesen keinem Dritten mitzuteilen.</w:t>
      </w:r>
    </w:p>
    <w:p>
      <w:r>
        <w:rPr>
          <w:b/>
        </w:rPr>
        <w:t>E. 4</w:t>
      </w:r>
    </w:p>
    <w:p>
      <w:r>
        <w:t>Alles unter Kosten- und Entschädigungsfolgen zu Lasten der [recte: des] Beklagten."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