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PP190032 vom 4. Dezember 2019</w:t>
      </w:r>
    </w:p>
    <w:p>
      <w:r>
        <w:t>ZH Obergericht, 2019-12-04, DE</w:t>
      </w:r>
    </w:p>
    <w:p>
      <w:r>
        <w:rPr>
          <w:b/>
        </w:rPr>
        <w:t xml:space="preserve">Quelle: </w:t>
      </w:r>
      <w:r>
        <w:t>https://mcp.opencaselaw.ch/entscheid/zh_obergericht_PP190032</w:t>
      </w:r>
    </w:p>
    <w:p>
      <w:r>
        <w:t>FR: ZH_OBERGERICHT PP190032 du 4 décembre 2019</w:t>
      </w:r>
    </w:p>
    <w:p>
      <w:r>
        <w:t>IT: ZH_OBERGERICHT PP190032 del 4 dicembre 2019</w:t>
      </w:r>
    </w:p>
    <w:p>
      <w:pPr>
        <w:pStyle w:val="Heading2"/>
      </w:pPr>
      <w:r>
        <w:t>Erwägungen</w:t>
      </w:r>
    </w:p>
    <w:p>
      <w:r>
        <w:rPr>
          <w:b/>
        </w:rPr>
        <w:t>E. 1</w:t>
      </w:r>
    </w:p>
    <w:p>
      <w:r>
        <w:t>a) Mit Eingabe vom 20. Juni 2019 reichten die Kläger 1 und 2 bei der Vorinstanz eine negative Kollokationsklage gegen den Beklagten im Konkurs über die Stiftung D._____ und E._____ ein (Urk. 10/1). Mit Verfügung vom 3. Juli 2019 setzte die Vorinstanz den Klägern 1 und 2 eine Frist zur Leistung eines Ge- richtskostenvorschusses von Fr. 940.– an (Urk. 10/5 = Urk. 2). b) Dagegen erhoben die Kläger bzw. Beschwerdeführer 1 und 2 (fortan Kläger) mit Eingabe vom 22. Juli 2019, eingegangen am 24. Juli 2019, Be- schwerde und reichten diverse Beilagen zu den Akten (Urk. 1, Urk. 3 - 6). Das sinngemässe Gesuch der Kläger um Erstreckung der Beschwerdefrist (Urk. 1 S. 7 Randtitel "post scriptum") wurde mit Verfügung vom 30. Juli 2019 abgewiesen und die Kläger darauf hingewiesen, dass die Frist – unter Berücksichtigung des Fristenstillstandes vom 15. Juli bis 15. August 2019 – noch nicht abgelaufen sei (Urk. 9). In der Folge reichten die Kläger innert Frist eine weitere Beschwerde- schrift vom 20. August 2019 zu den Akten (Urk. 11). Sie erklären darin, dass die- se Beschwerdeschrift diejenige vom 22. Juli 2019 ersetze (Urk. 11 S. 1: "ersetzt vorhergegangene Lettre Signature vom 22/07/19"), weshalb im vorliegenden Be- schwerdeverfahren lediglich auf die Eingabe vom 20. August 2019 abgestellt wird. Die Kläger stellten folgende Anträge (Urk. 11 S. 1): "I es seien die überhohen Gerichtsgebühren in Vorwegnahme der Umsetzung der laufenden Empfehlung des Bundesrates - wenigstens in den Fällen der kontroversen (negativen) Kollokationsklagen - mindestens zu halbieren. II es seien alle im Kollokationsplan eingebrachten Forderungen immer rein NET- TO, d.h. nur die Grundforderung ohne frei erfundene, zweifelhafte Zuschläge, immer ohne Verzinsung und ohne Mehrwertsteuer hochzurechnen und die Ge- richtsgebühren seien auf der Basis dieses korrigierten NETTO-WERTS der Forderungen zu bestimmen. III es seien die symbolischen 100 % Prozessdividenden auf den realistischer- weise erzielbaren Erlös-%-Satz – wie dieser bei einer Gesamtverwertung der Konkursmasse innert nützlicher Frist erwartet werden kann – abzustimmen. IV es sei bei Forderungen, welche vor Einleitung des Konkurses von den verant- wortlichen Gremien nachweislich abgelehnt wurden, kein Gebührenvorschuss zu verlangen, oder dieser sei zwischen Kläger und Beklagten zu halbieren. V es sei zu prüfen, ob in Fällen der Anfechtung von offensichtlich chancenlosen Forderungen – entsprechend Befund einer Vorprüfung des Gerichtes – den Klägern die Vorschussleistungen erlassen werden kann und soll. VI es seien die Gerichtsgebühren nur für die Kernklage der Anfechtung der Basis- -Bildforderung zu beschränken; es seien weitere mit der Kernklage verknüpfte</w:t>
      </w:r>
    </w:p>
    <w:p>
      <w:r>
        <w:t>- 3 - Forderungen des Klägers auszuscheiden und alle Seitenwagen-Klagen seien nur nach Befund über die Kernklage der Basis-Bildrechte aufzugreifen und oh- ne Prozessvorschuss abzuhandeln. VII es sei diese Beschwerde ohne Vorschussleistung der Kläger abzuwickeln und es seien die Verfahrenskosten zulasten der Staatskasse abzuwickeln. ferner sei auf das parallel laufende Gesuch an das Bezirksgericht über die Gewäh- rung der unentgeltlichen Rechtspflege samt unentgeltlichem Rechtsbeistand hinge- wiesen und die Befunde des Bezirksgerichts seien umzusetzen."</w:t>
      </w:r>
    </w:p>
    <w:p>
      <w:r>
        <w:rPr>
          <w:b/>
        </w:rPr>
        <w:t>E. 2</w:t>
      </w:r>
    </w:p>
    <w:p>
      <w:r>
        <w:t>Mit der Beschwerde können unrichtige Rechtsanwendung und offen- sichtlich unrichtige Feststellung des Sachverhalts geltend gemacht werden (Art. 320 ZPO). Die Beschwerde führende Partei hat aufzuzeigen, inwiefern der angefochtene Entscheid als fehlerhaft erachtet wird, das heisst, sie hat darzule- gen, an welchen Mängeln (unrichtige Rechtsanwendung, offensichtlich unrichtige Feststellung des Sachverhalts) der angefochtene Entscheid ihrer Ansicht nach leidet (ZK ZPO-Freiburghaus/Afheldt, Art. 321 N 15; BK ZPO-Sterchi, Art. 321 N 17 ff.). b) Als Kollokationsgläubiger, welche eine Klage gegen einen Mit- gläubiger führen, bilden die Kläger eine einfache Streitgenossenschaft (Art. 71 ZPO; BSK ZPO-Ruggle, Art. 71 N 26).</w:t>
      </w:r>
    </w:p>
    <w:p>
      <w:r>
        <w:rPr>
          <w:b/>
        </w:rPr>
        <w:t>E. 3</w:t>
      </w:r>
    </w:p>
    <w:p>
      <w:r>
        <w:t>Klasse (Urk. 10/1 S. 1; Urk. 10/2/K-4 S. 6 = Urk. 10/3 S. 6). Den Klägern ist nicht zu folgen, wenn sie für die Streitwertberechnung die Mehrwertsteuer vom Forderungsbetrag des Beklagten abziehen oder einen tieferen Betrag berücksich- tigt haben wollen (Urk. 11 S. 2), bestreiten sie doch die vom Konkursamt im Kol- lokationsplan zu Unrecht zugelassene Forderung des Beklagten im Gesamtbe- trag, das heisst in der Höhe von Fr. 4'444.– (Urk. 10/1 S. 1). Dieser Betrag ist massgeblich, weshalb für die Bemessung des Streitwerts darauf abzustellen ist. d) Als unrealistisch monieren die Kläger ferner die Konkursdividende von 100 % (Urk. 11 S. 3). Sie zeigen in ihrer Beschwerdeschrift vier Szenarien für eine realistische Erlöserwartung auf (abhängig von der möglichen Zeitspanne der Verwertung sowie der Verfügbarkeit einer repräsentativen Ausstellungshalle) und kommen im Ergebnis auf eine Konkursdividende von höchstens 15 % (Urk. 11</w:t>
      </w:r>
    </w:p>
    <w:p>
      <w:r>
        <w:t>- 5 - S. 3 f.). Gemäss Rechtsprechung des Bundesgerichts bemisst sich der Streitwert der Kollokationsklage nach der Dividende, die auf den bestrittenen Betrag entfal- len würde, also nach dem mutmasslichen Prozessgewinn. Massgebend ist somit die Differenz zwischen der Dividende nach der angefochtenen und der bean- spruchten Kollokation (BGE 135 III 127 E. 1.2; 138 III 675 E. 3.1 und 140 II 65 E. 3.2). Die Berechnung erfolgt durch die Konkursverwaltung, welche hierfür die Aktiven gemäss Inventar den Passiven gemäss Kollokationsplan gegenüberstellt und das zu erwartende Resultat im Kollokationsplan angibt. Die Schätzung der mutmasslichen Konkursdividende ist in Bezug auf den Streitwert für das Gericht verbindlich (BGE 140 III 65 E. 3.2; 138 III 675 E. 3.2). Das Konkursamt Aussers- hil-Zürich schätzte die Konkursdividende in der 3. Klasse auf 100 % (Urk. 10/2/K-</w:t>
      </w:r>
    </w:p>
    <w:p>
      <w:r>
        <w:rPr>
          <w:b/>
        </w:rPr>
        <w:t>E. 4</w:t>
      </w:r>
    </w:p>
    <w:p>
      <w:r>
        <w:t>a) Fehl gehen die Kläger mit ihrer Annahme, die Beschwerde stosse möglicherweise in juristisches Neuland vor, weshalb die Verfahrenskosten zulas- ten der Staatskasse abzuschreiben seien (Urk. 11 S. 5). Die Gerichtskosten des Beschwerdeverfahrens sind ausgangsgemäss den unterliegenden Klägern, unter solidarischer Haftung, aufzuerlegen (Art. 106 Abs. 1 und 3 ZPO; BK ZPO-Balz Gross/Roger Zuber, Art. 71 N 26). Die Entscheidgebühr für das Beschwerdever- fahren ist in Anwendung von § 9 Abs. 1 i.V.m. § 12 der GebV OG auf Fr. 450.– festzusetzen. b) Die Kläger machen geltend, sie seien aufgrund ihrer wirtschaftlich ungünstigen Situation auf unentgeltliche Rechtspflege angewiesen. Sie hätten diesbezüglich im vorinstanzlichen Verfahren ein Gesuch gestellt (Urk. 11 S. 6). Im</w:t>
      </w:r>
    </w:p>
    <w:p>
      <w:r>
        <w:t>- 8 - Beschwerdeverfahren unterlassen es die Kläger jedoch, ein Gesuch um Gewäh- rung der unentgeltlichen Rechtspflege zu stellen. Auch bei sinngemässer Ausle- gung ihrer Vorbringen lässt sich ein solches Gesuch nicht herauslesen. Ihnen entsteht allerdings dadurch kein Nachteil, setzt doch der Anspruch auf unentgeltli- che Rechtspflege Mittellosigkeit und nicht aussichtslose Rechtsbegehren voraus (Art. 117 lit. b ZPO). Im Lichte der vorstehenden Erwägungen ist die Beschwerde als aussichtslos anzusehen, weshalb ein Gesuch um Gewährung der unentgeltli- chen Rechtspflege abzuweisen gewesen wäre. c) Dem Beklagten ist mangels relevanter Umtriebe im Beschwerde- verfahren keine Parteientschädigung zuzusprechen (vgl. Art. 95 Abs. 3 ZPO), die Kläger haben aufgrund ihres Unterliegens keinen Anspruch auf Parteientschä- 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