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PP190022 vom 6. Juni 2019</w:t>
      </w:r>
    </w:p>
    <w:p>
      <w:r>
        <w:t>ZH Obergericht, 2019-06-06, DE</w:t>
      </w:r>
    </w:p>
    <w:p>
      <w:r>
        <w:rPr>
          <w:b/>
        </w:rPr>
        <w:t xml:space="preserve">Quelle: </w:t>
      </w:r>
      <w:r>
        <w:t>https://mcp.opencaselaw.ch/entscheid/zh_obergericht_PP190022</w:t>
      </w:r>
    </w:p>
    <w:p>
      <w:r>
        <w:t>FR: ZH_OBERGERICHT PP190022 du 6 juin 2019</w:t>
      </w:r>
    </w:p>
    <w:p>
      <w:r>
        <w:t>IT: ZH_OBERGERICHT PP190022 del 6 giugno 2019</w:t>
      </w:r>
    </w:p>
    <w:p>
      <w:pPr>
        <w:pStyle w:val="Heading2"/>
      </w:pPr>
      <w:r>
        <w:t>Erwägungen</w:t>
      </w:r>
    </w:p>
    <w:p>
      <w:r>
        <w:rPr>
          <w:b/>
        </w:rPr>
        <w:t>E. 12</w:t>
      </w:r>
    </w:p>
    <w:p>
      <w:r>
        <w:t>Februar 2019 (act. 2 und 3). Auf den Empfangsschein kritzelt sie "falsch", und auf dem Entscheid des Einzelgerichts "Rekurs total". Diese letztere Bemerkung ist mit "4.3.19" datiert, aber mit dem neuen Einreichen will die Absenderin offenkun- dig klar machen, dass sie die Verfügung nach wie vor für unrichtig hält. Die Unterlagen, welche die III. Strafkammer betreffen können, wurden dieser weiter geleitet (act. 5). Die Beschwerde gegen die Verfügung vom 12. Februar 2019 in Sachen des "A._____" ist erledigt. Die Kammer kann und darf darauf nicht zurückkommen. Gegen die Rücksendung der Akten aus einem erledigten Verfahren sieht das Ge- setz kein Rechtsmittel vor. Auf die neue Eingabe ist nicht einzutreten. Die Kosten dieses unnötigen Verfahrens sind auf Fr. 500.-- festzusetzen (§ 20 Abs. 1 GebV OG) und B._____ persönlich aufzuerlegen (Art. 108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