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PP190020 vom 19. November 2019</w:t>
      </w:r>
    </w:p>
    <w:p>
      <w:r>
        <w:t>ZH Obergericht, 2019-11-19, DE</w:t>
      </w:r>
    </w:p>
    <w:p>
      <w:r>
        <w:rPr>
          <w:b/>
        </w:rPr>
        <w:t xml:space="preserve">Quelle: </w:t>
      </w:r>
      <w:r>
        <w:t>https://mcp.opencaselaw.ch/entscheid/zh_obergericht_PP190020</w:t>
      </w:r>
    </w:p>
    <w:p>
      <w:r>
        <w:t>FR: ZH_OBERGERICHT PP190020 du 19 novembre 2019</w:t>
      </w:r>
    </w:p>
    <w:p>
      <w:r>
        <w:t>IT: ZH_OBERGERICHT PP190020 del 19 novembre 2019</w:t>
      </w:r>
    </w:p>
    <w:p>
      <w:pPr>
        <w:pStyle w:val="Heading2"/>
      </w:pPr>
      <w:r>
        <w:t>Erwägungen</w:t>
      </w:r>
    </w:p>
    <w:p>
      <w:r>
        <w:rPr>
          <w:b/>
        </w:rPr>
        <w:t>E. 1</w:t>
      </w:r>
    </w:p>
    <w:p>
      <w:r>
        <w:t>a) Mit Eingabe vom 17. März 2019 und unter Beilage der Klagebewilli- gung des Friedensrichteramtes C._____ vom 23. November 2018 (bei der Vo- rinstanz am 20. März 2019 eingegangen) reichte der Kläger und Beschwerdefüh- rer (fortan Kläger) bei der Vorinstanz eine Forderungsklage ein (Urk. 1-3). Mit Verfügung vom 2. April 2019 entschied die erstinstanzliche Richterin fol- gendermassen (Urk. 11 S. 4): " 1. Auf die Klage wird nicht eingetreten.</w:t>
      </w:r>
    </w:p>
    <w:p>
      <w:r>
        <w:rPr>
          <w:b/>
        </w:rPr>
        <w:t>E. 2</w:t>
      </w:r>
    </w:p>
    <w:p>
      <w:r>
        <w:t>Die Entscheidgebühr wird auf Fr. 150.00 festgesetzt.</w:t>
      </w:r>
    </w:p>
    <w:p>
      <w:r>
        <w:rPr>
          <w:b/>
        </w:rPr>
        <w:t>E. 3</w:t>
      </w:r>
    </w:p>
    <w:p>
      <w:r>
        <w:t>Die Gerichtskosten werden dem Kläger auferlegt.</w:t>
      </w:r>
    </w:p>
    <w:p>
      <w:r>
        <w:rPr>
          <w:b/>
        </w:rPr>
        <w:t>E. 4</w:t>
      </w:r>
    </w:p>
    <w:p>
      <w:r>
        <w:t>Der Beklagten wird keine Parteientschädigung zugesprochen</w:t>
      </w:r>
    </w:p>
    <w:p>
      <w:r>
        <w:rPr>
          <w:b/>
        </w:rPr>
        <w:t>E. 5</w:t>
      </w:r>
    </w:p>
    <w:p>
      <w:r>
        <w:t>(Schriftliche Mitteilung.)</w:t>
      </w:r>
    </w:p>
    <w:p>
      <w:r>
        <w:rPr>
          <w:b/>
        </w:rPr>
        <w:t>E. 6</w:t>
      </w:r>
    </w:p>
    <w:p>
      <w:r>
        <w:t>Schriftliche Mitteilung an die Parteien, an die Beklagte unter Beilage der Doppel der Urk. 15, 17, 18/2-15 und 18/FN 3-FN 6 sowie von Kopien der Urk. 20 f., und an die Vorinstanz,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4'049.50. Die Beschwerde an das Bundesgericht hat keine aufschiebende Wirkung. Hinsichtlich des Fristenlaufs gelten die Art. 44 ff. BGG.</w:t>
      </w:r>
    </w:p>
    <w:p>
      <w:r>
        <w:t>- 8 - Zürich, 19. November 2019 Obergericht des Kantons Zürich I. Zivilkammer Die Vorsitzende: Der Gerichtsschreiber: Dr. L. Hunziker Schnider lic. iur. A. Baumgartner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