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PP190006 vom 27. Mai 2019</w:t>
      </w:r>
    </w:p>
    <w:p>
      <w:r>
        <w:t>ZH Obergericht, 2019-05-27, DE</w:t>
      </w:r>
    </w:p>
    <w:p>
      <w:r>
        <w:rPr>
          <w:b/>
        </w:rPr>
        <w:t xml:space="preserve">Quelle: </w:t>
      </w:r>
      <w:r>
        <w:t>https://mcp.opencaselaw.ch/entscheid/zh_obergericht_PP190006</w:t>
      </w:r>
    </w:p>
    <w:p>
      <w:r>
        <w:t>FR: ZH_OBERGERICHT PP190006 du 27 mai 2019</w:t>
      </w:r>
    </w:p>
    <w:p>
      <w:r>
        <w:t>IT: ZH_OBERGERICHT PP190006 del 27 maggio 2019</w:t>
      </w:r>
    </w:p>
    <w:p>
      <w:pPr>
        <w:pStyle w:val="Heading2"/>
      </w:pPr>
      <w:r>
        <w:t>Erwägungen</w:t>
      </w:r>
    </w:p>
    <w:p>
      <w:r>
        <w:rPr>
          <w:b/>
        </w:rPr>
        <w:t>E. 1</w:t>
      </w:r>
    </w:p>
    <w:p>
      <w:r>
        <w:t>a) Mit Eingabe vom 7. Januar 2019 stellte die Klägerin und Beschwerde- führerin (fortan Klägerin) bei der Vorinstanz – unter Beilage der entsprechenden Klagebewilligung des Friedensrichteramtes … vom 8. Oktober 2018 (Urk. 5/1) – folgendes Rechtsbegehren (Urk. 5/2 S. 1): " 1. Die Beklagte sei zu verpflichten, an die Beklagte den Betrag von 14.000 CHF zu zahlen zzgl. 5 % Zinsen seit 05. März 2018.</w:t>
      </w:r>
    </w:p>
    <w:p>
      <w:r>
        <w:rPr>
          <w:b/>
        </w:rPr>
        <w:t>E. 2</w:t>
      </w:r>
    </w:p>
    <w:p>
      <w:r>
        <w:t>a) Nach der bundesgerichtlichen Rechtsprechung müssen Rechtsbegeh- ren, die auf Geldzahlung gerichtet sind, bezifferte Anträge enthalten. Werden zum</w:t>
      </w:r>
    </w:p>
    <w:p>
      <w:r>
        <w:t>- 3 - Beispiel die Kostenfolgen des erstinstanzlichen Verfahrens selbständig angefoch- ten, ist danach erforderlich, dass aus den Anträgen klar hervorgeht, in welchen Beträgen die Verfahrenskosten welcher Partei aufzuerlegen sein sollen. Gestellte Begehren sind nach Treu und Glauben auszulegen. Es genügt dabei, wenn aus der Rechtsmittelbegründung, allenfalls in Verbindung mit dem angefochtenen Entscheid, klar hervorgeht, in welchem Sinne der angefochtene Entscheid abge- ändert werden soll (BGer 4A_35/2015 vom 12. Juni 2015, E. 3.2 m.w.H.; BGer 5A_692/2016 vom 24. April 2017, E. 2.3 m.w.H.; siehe auch BGer 4D_44/2017 vom 30. Oktober 2017, E. 4.2. m.w.H.). Ein Begehren um "Festlegung des Ge- schuldeten" oder "angemessene Reduktion" bzw. "angemessene Erhöhung" ist unstatthaft (BGer 5A_105/2012 vom 9. März 2012, E. 3.2 m.w.H.). Fehlen genügende Anträge, so fehlt es an einer Zulässigkeitsvoraussetzung der Beschwerde. Diese ist durch Nichteintreten zu erledigen; eine Nachfrist darf nicht angesetzt werden (BGer 5A_408/2015 vom 8. Oktober 2015, E. 5.2 m.w.H.). b) Vorliegend unterliess es die Klägerin, ihren Antrag zu beziffern. Auch aus der Rechtsmittelbegründung geht nichts Konkretes zur gewünschten Höhe des Kostenvorschusses hervor. So führt die Klägerin zur Höhe einzig aus, es erschei- ne bei einem Streitwert von Fr. 14'000.– unangemessen, den Kostenvorschuss mit 100 % der üblichen Gerichtsgebühr anzusetzen. Auf die ihres Erachtens an- gemessene Höhe des Kostenvorschusses legt sich die Klägerin in der Beschwer- deschrift hingegen nicht fest. Wie ausgeführt genügt es gemäss bundesgerichtli- cher Rechtsprechung jedoch nicht, eine Reduktion auf ein angemessenes Mass zu beantragen. Auf die Beschwerde der Klägerin ist daher mangels Bezifferung ihres Rechtsmittelantrags nicht einzutreten.</w:t>
      </w:r>
    </w:p>
    <w:p>
      <w:r>
        <w:rPr>
          <w:b/>
        </w:rPr>
        <w:t>E. 3</w:t>
      </w:r>
    </w:p>
    <w:p>
      <w:r>
        <w:t>Die Prozesskosten sind der unterliegenden Partei aufzuerlegen. Bei Nichteintreten gilt die klagende Partei bzw. die Partei, welche das Rechtsmittel erhoben hat, als unterliegend (vgl. Art. 106 Abs. 1 ZPO), weshalb der Klägerin die Gerichtskosten des Beschwerdeverfahrens aufzuerlegen sind. Die Entscheidge- bühr für das Beschwerdeverfahren ist in Anwendung von § 4 Abs. 1 und 2 sowie § 12 Abs. 1 und 2 GebV OG auf Fr. 600.– festzusetzen. Mangels wesentlicher</w:t>
      </w:r>
    </w:p>
    <w:p>
      <w:r>
        <w:t>- 4 - Umtriebe ist der Beklagten und Beschwerdegegnerin (fortan Beklagte)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