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PP180048 vom 15. Februar 2019</w:t>
      </w:r>
    </w:p>
    <w:p>
      <w:r>
        <w:t>ZH Obergericht, 2019-02-15, DE</w:t>
      </w:r>
    </w:p>
    <w:p>
      <w:r>
        <w:rPr>
          <w:b/>
        </w:rPr>
        <w:t xml:space="preserve">Quelle: </w:t>
      </w:r>
      <w:r>
        <w:t>https://mcp.opencaselaw.ch/entscheid/zh_obergericht_PP180048</w:t>
      </w:r>
    </w:p>
    <w:p>
      <w:r>
        <w:t>FR: ZH_OBERGERICHT PP180048 du 15 février 2019</w:t>
      </w:r>
    </w:p>
    <w:p>
      <w:r>
        <w:t>IT: ZH_OBERGERICHT PP180048 del 15 febbraio 2019</w:t>
      </w:r>
    </w:p>
    <w:p>
      <w:pPr>
        <w:pStyle w:val="Heading2"/>
      </w:pPr>
      <w:r>
        <w:t>Erwägungen</w:t>
      </w:r>
    </w:p>
    <w:p>
      <w:r>
        <w:rPr>
          <w:b/>
        </w:rPr>
        <w:t>E. 1</w:t>
      </w:r>
    </w:p>
    <w:p>
      <w:r>
        <w:t>Dr. B._____ (fortan Beklagter) sowie die Beschwerdeführerin (fortan Kläge- rin) stehen sich vor Vorinstanz in einem Forderungsprozess gegenüber. Gemäss Angaben der Klägerin ist der Beklagte ihr früherer Rechtsvertreter, welcher sie in einem Verfahren vor der KESB Uster vertreten habe. Für jenes Verfahren habe sie (bzw. C._____ namens der Klägerin) dem Beklagten einen Kostenvorschuss in Höhe von Fr. 1'200.– bezahlt. Die KESB Uster habe in der Folge jedoch das vom Beklagten namens der Klägerin gestellte Gesuch um Gewährung der unent- geltlichen Rechtspflege bewilligt und den Beklagten als unentgeltlichen Rechts- beistand bestellt. Nachdem Differenzen zwischen den Parteien aufgetreten seien, habe der Beklagte das Mandat niedergelegt. Die Klägerin bzw. C._____ hätten sodann den geleisteten Kostenvorschuss vom Beklagten erfolglos zurückgefor- dert (vgl. hierzu Urk. 4/2 S. 2).</w:t>
      </w:r>
    </w:p>
    <w:p>
      <w:r>
        <w:rPr>
          <w:b/>
        </w:rPr>
        <w:t>E. 2</w:t>
      </w:r>
    </w:p>
    <w:p>
      <w:r>
        <w:t>Am 23. Februar 2018 ersuchte die Klägerin um Gewährung der unentgeltli- chen Rechtspflege für das Schlichtungsverfahren. In jenem Verfahren stellte sich der Beklagte im Wesentlichen auf den Standpunkt, dass nicht sämtliche seiner Bemühungen für die Klägerin von der (bewilligten) unentgeltlichen Rechtspflege der KESB Uster gedeckt seien und der Klägerin daher kein Rückforderungsan- spruch zustehe, weshalb ihre "Klage" aussichtslos sei (Urk. 4/6/10). Später mach- te er geltend, dass er den Betrag von Fr. 870.– (recte: Fr. 840.–; vgl. Urk. 4/6/17) "auftrags" der Klägerin auf das Konto von C._____ überwiesen habe (Urk. 4/6/16 S. 3). Das Gesuch um Gewährung der unentgeltlichen Rechtspflege wurde schliesslich mit Urteil vom 3. Mai 2018 in Bezug auf die (unentgeltliche) Prozess- führung bewilligt, auf das Gesuch um Gewährung der (unentgeltlichen) Rechts- verbeiständung hingegen nicht eingetreten (Urk. 4/6/19 Disp. Ziff. 1 und 2). Am 1. März 2018 leitete die Klägerin – ohne Rechtsverbeiständung – das Schlich- tungsverfahren ein (vgl. Urk. 4/1).</w:t>
      </w:r>
    </w:p>
    <w:p>
      <w:r>
        <w:rPr>
          <w:b/>
        </w:rPr>
        <w:t>E. 3</w:t>
      </w:r>
    </w:p>
    <w:p>
      <w:r>
        <w:t>Mit Eingabe vom 27. April 2018 reichte die Klägerin – unter Beilage der Kla- gebewilligung und noch ohne Rechtsverbeiständung – bei der Vorinstanz ihre Klage ein (vgl. Urk. 4/2). Mit Schreiben vom 16. Mai 2018 zeigte die Rechtsvertre- terin der Klägerin ihre Mandatierung an, ersuchte um Akteneinsicht und stellte ein Gesuch um Gewährung der unentgeltlichen Rechtspflege (Urk. 4/4). Mit Verfü-</w:t>
      </w:r>
    </w:p>
    <w:p>
      <w:r>
        <w:t>- 3 - gung vom 29. Mai 2018 setzte die Vorinstanz dem Beklagten Frist zur Stellung- nahme zur Klage an (Urk. 4/7). Diese ging am 6. Juni 2018 bei der Vorinstanz ein (Urk. 4/9). Darin beantragte der Beklagte unter anderem, die Rechtsvertreterin der Klägerin sei nicht als deren Vertreterin im Forderungsprozess zuzulassen, da ihre Mandatsübernahme gegen die Regeln des Anwaltsgesetzes verstosse (Urk. 4/9, Ziffer 3 der Anträge). In der Folge setzte die Vorinstanz der Klägerin mit Verfü- gung vom 28. Juni 2018 Frist an, um zu diesem Antrag Stellung zu nehmen (Urk. 4/10, Disp. Ziff. 1). In ihrer Stellungnahme vom 27. August 2018 schloss die Klägerin auf Abweisung dieses Antrages, soweit darauf überhaupt einzutreten sei (Urk. 4/12). Am 14. November 2018 erliess die Vorinstanz folgende Verfügung (Urk. 4/14 S. 12 f. = Urk. 2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