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PP180008 vom 19. März 2018</w:t>
      </w:r>
    </w:p>
    <w:p>
      <w:r>
        <w:t>ZH Obergericht, 2018-03-19, DE</w:t>
      </w:r>
    </w:p>
    <w:p>
      <w:r>
        <w:rPr>
          <w:b/>
        </w:rPr>
        <w:t xml:space="preserve">Quelle: </w:t>
      </w:r>
      <w:r>
        <w:t>https://mcp.opencaselaw.ch/entscheid/zh_obergericht_PP180008</w:t>
      </w:r>
    </w:p>
    <w:p>
      <w:r>
        <w:t>FR: ZH_OBERGERICHT PP180008 du 19 mars 2018</w:t>
      </w:r>
    </w:p>
    <w:p>
      <w:r>
        <w:t>IT: ZH_OBERGERICHT PP180008 del 19 marzo 2018</w:t>
      </w:r>
    </w:p>
    <w:p>
      <w:pPr>
        <w:pStyle w:val="Heading2"/>
      </w:pPr>
      <w:r>
        <w:t>Erwägungen</w:t>
      </w:r>
    </w:p>
    <w:p>
      <w:r>
        <w:rPr>
          <w:b/>
        </w:rPr>
        <w:t>E. 1</w:t>
      </w:r>
    </w:p>
    <w:p>
      <w:r>
        <w:t>a) Die Vorinstanz hat am 20. Dezember 2017 gestützt auf Art. 125 lit. a ZPO das Folgende verfügt (Urk. 58 S. 9): " 1. Das Verfahren wird auf die Frage beschränkt, ob auf die Klage ein- zutreten ist.</w:t>
      </w:r>
    </w:p>
    <w:p>
      <w:r>
        <w:rPr>
          <w:b/>
        </w:rPr>
        <w:t>E. 2</w:t>
      </w:r>
    </w:p>
    <w:p>
      <w:r>
        <w:t>a) Wird eine prozessleitende Verfügung angefochten, so beträgt die Be- schwerdefrist zehn Tage, sofern das Gesetz nichts anderes bestimmt (Art. 321 Abs. 2 ZPO). Unter der prozessleitenden Verfügung versteht man die ihm Rah- men der formellen und materiellen Prozessleitung ergehende gerichtliche Anord- nung, die von verhältnismässig unbedeutenden Massnahmen wie etwa der Fest- setzung des Sitzungstermins zu einschneidenden Anordnungen, z.B. der Verwei- gerung des Kostenerlasses, reicht (Staehelin, in: Sutter-Somm/Hasenböhler/ Leuenberger, ZPO Komm., Art. 124 N 4). Bei den Anordnungen gemäss Art. 125 ZPO handelt es sich um prozessleitende Verfügungen, welche nur mit Beschwer- de gemäss Art. 319 ff. ZPO anfechtbar sind, sofern ein nicht leicht wiedergutzu-</w:t>
      </w:r>
    </w:p>
    <w:p>
      <w:r>
        <w:t>- 3 - machender Nachteil droht (Art. 319 lit. b Ziff. 2 ZPO) oder die Anordnung zu einer Rechtsverzögerung führt (Art. 319 lit. c ZPO; BK ZPO-Frei, Art. 125 N 28 m.w.H.). b) Die Vorinstanz belehrte in der angefochtenen Verfügung eine 30-tägige Frist zur Erhebung der Beschwerde (Urk. 58 S. 9 Dispositivziffer 2). Ihr ist dabei entgangen, dass die Dispositivziffer 1 einen prozessleitenden Entscheid darstellt, bei dem die Beschwerdefrist lediglich zehn Tage beträgt (Art. 321 Abs. 2 ZPO). Da die Beschwerde erst am 9. Februar 2018 der Post übergeben wurde, ist sie betreffend die angefochtene Dispositivziffer 1 als verspätet zu betrachten; die zehntägige Beschwerdefrist lief bereits am 22. Januar 2018 ab (Art. 142 Abs. 1 und 3 ZPO i.V.m. Art. 143 Abs. 1 ZPO). c) Einer Partei, welche sich auf eine unzutreffende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Rechtssuchenden bzw. ihren Rechtsvertreter schon durch Konsultierung der massgeblichen Verfahrensbestimmung ersichtlich ist. Dagegen wird nicht ver- langt, dass neben den Gesetzestexten auch die einschlägige Rechtsprechung oder Literatur nachgeschlagen wird. Dies gilt nicht nur für das Verfahren vor Bun- desgericht, sondern auch für das kantonale Verfahren. Wann der Prozesspartei, die sich auf eine unrichtige Rechtsmittelbelehrung verlassen hat, eine als grob zu wertende Unsorgfalt vorzuwerfen ist, beurteilt sich nach den konkreten Umstän- den und nach ihren Rechtskenntnissen. Ist sie rechtsunkundig und auch nicht rechtskundig vertreten, darf sie nicht der anwaltlich vertretenen Partei gleichge- stellt werden, es sei denn, sie verfüge namentlich aus früheren Verfahren über entsprechende Erfahrungen. Eine Überprüfung der in der Rechtsmittelbelehrung enthaltenen Angaben kann von einer Prozesspartei im Übrigen nur verlangt wer- den, wenn diese über die Kenntnisse verfügt, die es ihr überhaupt ermöglichen, die massgebende Gesetzesbestimmung ausfindig zu machen und gegebenenfalls auszulegen (BGer 6B_295/2011 vom 26. August 2011, E. 1.3 m.w.H.).</w:t>
      </w:r>
    </w:p>
    <w:p>
      <w:r>
        <w:t>- 4 - Dem Rechtsvertreter der Klägerin musste bewusst sein, dass die Beschwer- defrist vorliegend lediglich zehn Tage beträgt, erwähnte er doch in seiner Be- schwerdeschrift vom 9. Februar 2018 selber, dass es sich bei der angefochtenen Verfügung um eine prozessleitende Verfügung handle (Urk. 57 S. 2 Ziff. I.2). So hätte er mit einem Blick auf den Gesetzeswortlaut von Art. 321 Abs. 2 ZPO er- kennen müssen, dass die Beschwerdefrist in Bezug auf die angefochtene Dispo- sitivziffer 1 lediglich zehn und nicht 30 Tage beträgt. Der Vertrauensschutz findet somit vorliegend keine Anwendung, weshalb auf die Beschwerde nicht einzutre- ten ist.</w:t>
      </w:r>
    </w:p>
    <w:p>
      <w:r>
        <w:rPr>
          <w:b/>
        </w:rPr>
        <w:t>E. 3</w:t>
      </w:r>
    </w:p>
    <w:p>
      <w:r>
        <w:t>Die Prozesskosten werden der unterliegenden Partei auferlegt. Bei Nicht- eintreten gilt die klagende Partei bzw. die Partei, welche das Rechtsmittel erho- ben hat, als unterliegend (vgl. Art. 106 Abs. 1 ZPO), weshalb die Gerichtskosten des Beschwerdeverfahrens der Klägerin aufzuerlegen sind. Für die Bemessung der Gerichtskosten gelangen § 9 Abs. 1 und § 12 Abs. 1 und 2 GebV OG zur An- wendung. Mangels wesentlicher Aufwendungen ist der Beklagten und Beschwer- degegnerin (fortan Beklagte) für das Beschwerdeverfahren keine Parteientschä- 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