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PP170058 vom 12. Januar 2018</w:t>
      </w:r>
    </w:p>
    <w:p>
      <w:r>
        <w:t>ZH Obergericht, 2018-01-12, DE</w:t>
      </w:r>
    </w:p>
    <w:p>
      <w:r>
        <w:rPr>
          <w:b/>
        </w:rPr>
        <w:t xml:space="preserve">Quelle: </w:t>
      </w:r>
      <w:r>
        <w:t>https://mcp.opencaselaw.ch/entscheid/zh_obergericht_PP170058</w:t>
      </w:r>
    </w:p>
    <w:p>
      <w:r>
        <w:t>FR: ZH_OBERGERICHT PP170058 du 12 janvier 2018</w:t>
      </w:r>
    </w:p>
    <w:p>
      <w:r>
        <w:t>IT: ZH_OBERGERICHT PP170058 del 12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der Beklagte unter Androhung von Ungehorsamsstrafe im Widerhandlungsfall gemäss Art. 292 StGB zu verpflichten, die von ihm entfernte Steckdose (mit Stromkabel), die am sich links unten des Parkplatzes Nr. 7 befindenden Pfosten in der sich unter dem Grundstück Kataster-Nr. 2 befindenden Unterflurgarage ange- bracht war, innert 10 Tagen seit Rechtskraft des Urteils wieder zu montieren und in einen funktionstauglichen Zustand zu versetzen.</w:t>
      </w:r>
    </w:p>
    <w:p>
      <w:r>
        <w:rPr>
          <w:b/>
        </w:rPr>
        <w:t>E. 2</w:t>
      </w:r>
    </w:p>
    <w:p>
      <w:r>
        <w:t>Alles unter Kosten- und Entschädigungsfolgen (zuzüglich MwSt.) zu Lasten des Beklagten. Der Beklagte stellte am 11. Januar 2016 den Antrag, die Klage sei unter Kosten- und Entschädigungsfolgen (zuzüglich Mehrwertsteuer) zulasten der Kläger abzu- weisen (act. 8). Nach Durchführung des Verfahrens – unter anderem wurde das Verfahren für Vergleichsgespräche sistiert (Verfügung vom 14. April 2016, act. 12) und am 6. Juni 2016 wurde ein Augenschein genommen (Protokoll Vorinstanz S. 5 ff.) – fällte das Bezirksgericht Bülach am 13. November 2017 folgenden Ent- scheid (act. 30 = act. 45):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