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PP170011 vom 26. April 2017</w:t>
      </w:r>
    </w:p>
    <w:p>
      <w:r>
        <w:t>ZH Obergericht, 2017-04-26, DE</w:t>
      </w:r>
    </w:p>
    <w:p>
      <w:r>
        <w:rPr>
          <w:b/>
        </w:rPr>
        <w:t xml:space="preserve">Quelle: </w:t>
      </w:r>
      <w:r>
        <w:t>https://mcp.opencaselaw.ch/entscheid/zh_obergericht_PP170011</w:t>
      </w:r>
    </w:p>
    <w:p>
      <w:r>
        <w:t>FR: ZH_OBERGERICHT PP170011 du 26 avril 2017</w:t>
      </w:r>
    </w:p>
    <w:p>
      <w:r>
        <w:t>IT: ZH_OBERGERICHT PP170011 del 26 aprile 2017</w:t>
      </w:r>
    </w:p>
    <w:p>
      <w:pPr>
        <w:pStyle w:val="Heading2"/>
      </w:pPr>
      <w:r>
        <w:t>Erwägungen</w:t>
      </w:r>
    </w:p>
    <w:p>
      <w:r>
        <w:rPr>
          <w:b/>
        </w:rPr>
        <w:t>E. 1</w:t>
      </w:r>
    </w:p>
    <w:p>
      <w:r>
        <w:t>Prozessgeschichte</w:t>
      </w:r>
    </w:p>
    <w:p>
      <w:r>
        <w:rPr>
          <w:b/>
        </w:rPr>
        <w:t>E. 1.1</w:t>
      </w:r>
    </w:p>
    <w:p>
      <w:r>
        <w:t>Am 25. August 2016 erhob die Klägerin und Beschwerdegegnerin (fortan Klägerin) gegen den Beklagten und Beschwerdeführer (fortan Beklagter) nach Durchführung eines Schlichtungsverfahrens und Ausstellung der Klagebewilligung (Urk. 1) vor Vorinstanz eine Forderungsklage über Fr. 9'840.– nebst gesetzlichem Verzugszins seit 21. März 2016, Fr. 80.30 Betreibungskosten und Fr. 500.– für "Umtriebe und Ärger". Gleichzeitig verlangte sie die Beseitigung des Rechtsvor- schlags in der Betreibung Nr. … des Betreibungsamtes Zürich 11 (Urk. 1).</w:t>
      </w:r>
    </w:p>
    <w:p>
      <w:r>
        <w:rPr>
          <w:b/>
        </w:rPr>
        <w:t>E. 1.2</w:t>
      </w:r>
    </w:p>
    <w:p>
      <w:r>
        <w:t>Am 7. Februar 2017 erliess die Vorinstanz folgendes Urteil (Urk. 17 S. 13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