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PP160046 vom 4. Januar 2017</w:t>
      </w:r>
    </w:p>
    <w:p>
      <w:r>
        <w:t>ZH Obergericht, 2017-01-04, DE</w:t>
      </w:r>
    </w:p>
    <w:p>
      <w:r>
        <w:rPr>
          <w:b/>
        </w:rPr>
        <w:t xml:space="preserve">Quelle: </w:t>
      </w:r>
      <w:r>
        <w:t>https://mcp.opencaselaw.ch/entscheid/zh_obergericht_PP160046</w:t>
      </w:r>
    </w:p>
    <w:p>
      <w:r>
        <w:t>FR: ZH_OBERGERICHT PP160046 du 4 janvier 2017</w:t>
      </w:r>
    </w:p>
    <w:p>
      <w:r>
        <w:t>IT: ZH_OBERGERICHT PP160046 del 4 gennaio 2017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Insgesamt bringt der Kläger keine Rügen vor, welche die Rechtsanwendung der Vorinstanz hinsichtlich der Abweisung des Gesuchs um Gewährung der un- entgeltlichen Rechtspflege als unrichtig oder ihre Sachverhaltsfeststellung gar als offensichtlich unrichtig erscheinen liessen. Die Beschwerde erweist sich daher als unbegründet, weshalb sie abzuweisen ist, soweit auf sie einzutreten ist.</w:t>
      </w:r>
    </w:p>
    <w:p>
      <w:r>
        <w:rPr>
          <w:b/>
        </w:rPr>
        <w:t>E. 5</w:t>
      </w:r>
    </w:p>
    <w:p>
      <w:r>
        <w:t>Entsprechend ist das (sinngemässe) Gesuch des Klägers um Gewährung der unentgeltlichen Rechtspflege im Beschwerdeverfahren zufolge Aussichts- losigkeit dieses Verfahrens abzuweisen. 6.a) Die Kostenlosigkeit des Gesuchsverfahrens betreffend unentgeltliche Rechtspflege (Art. 119 Abs. 6 ZPO) gilt nach bundesgerichtlicher Rechtsprechung nicht für das Beschwerdeverfahren (BGE 137 III 470). Die Gerichtskosten für das zweitinstanzliche Verfahren sind in Anwendung von § 12 Abs. 1 und 2 GebV OG</w:t>
      </w:r>
    </w:p>
    <w:p>
      <w:r>
        <w:t>- 9 - in Verbindung mit § 9 Abs. 1 GebV OG auf Fr. 500.– festzusetzen und aufgrund des Ausgangs des Verfahrens dem Kläger aufzuerlegen (Art. 106 Abs. 1 ZPO). b) Aufgrund seines Unterliegens ist dem Kläger für das Beschwerdeverfahren keine Parteientschädigung zuzusprechen (Art. 106 Abs. 1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