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PP160039 vom 16. September 2016</w:t>
      </w:r>
    </w:p>
    <w:p>
      <w:r>
        <w:t>ZH Obergericht, 2016-09-16, DE</w:t>
      </w:r>
    </w:p>
    <w:p>
      <w:r>
        <w:rPr>
          <w:b/>
        </w:rPr>
        <w:t xml:space="preserve">Quelle: </w:t>
      </w:r>
      <w:r>
        <w:t>https://mcp.opencaselaw.ch/entscheid/zh_obergericht_PP160039</w:t>
      </w:r>
    </w:p>
    <w:p>
      <w:r>
        <w:t>FR: ZH_OBERGERICHT PP160039 du 16 septembre 2016</w:t>
      </w:r>
    </w:p>
    <w:p>
      <w:r>
        <w:t>IT: ZH_OBERGERICHT PP160039 del 16 settembre 2016</w:t>
      </w:r>
    </w:p>
    <w:p>
      <w:pPr>
        <w:pStyle w:val="Heading2"/>
      </w:pPr>
      <w:r>
        <w:t>Erwägungen</w:t>
      </w:r>
    </w:p>
    <w:p>
      <w:r>
        <w:rPr>
          <w:b/>
        </w:rPr>
        <w:t>E. 1</w:t>
      </w:r>
    </w:p>
    <w:p>
      <w:r>
        <w:t>a) Die Beklagte hatte den Kläger für Fr. 87'478.73 Konkursverlust- scheinsforderung und Fr. 655.90 Arrest- und Gerichtskosten betrieben, worauf der Kläger Rechtsvorschlag mit dem Vermerk "kein neues Vermögen" erhoben hatte (Urk. 5/1). Mit Urteil vom 4. Februar 2016 hatte das Bezirksgericht Zürich den Rechtsvorschlag wegen fehlenden neuen Vermögens teilweise bewilligt und fest- gestellt, dass der Kläger im Umfang von Fr. 26'076.– zu neuem Vermögen ge- kommen sei (Urk. 4). b) Am 28. Februar 2016 reichte der Kläger beim Bezirksgericht Zürich (Vorinstanz) Klage auf Bestreitung neuen Vermögens ein mit dem sinngemässen Begehren, es sei festzustellen, dass er nur im Umfang von Fr. 22'215.-- zu neuem Vermögen gekommen sei (Urk. 2). Mit Urteil vom 28. Juli 2016 wies die Vorin- stanz die Klage ab und stellte fest, dass der Kläger in der Betreibung Nr. ... des Betreibungsamtes Zürich 11, Zahlungsbefehl vom 23. Oktober 2015, im Betrag von Fr. 26'076.– zu neuem Vermögen gekommen sei; die Kosten- und Entschädi- gungsfolgen wurden zu Lasten des Klägers geregelt (Urk. 46 = Urk. 51). c) Hiergegen hat der Kläger am 5. September 2016 fristgerecht (Urk. 47) Beschwerde erhoben (Urk. 50). d) Die vorinstanzlichen Akten sind beigezogen worden. Am 13. Septem- ber 2016 hat die Beklagte ein Gesuch um Sicherstellung ihrer Parteientschädi- gung gestellt (Urk. 55; dazu unten Erwägung 3). Da sich die Beschwerde sogleich als unzulässig erweist (vgl. nachfolgende Erwägung), kann auf die Einholung ei- ner Beschwerdeantwort verzichtet werden (Art. 322 Abs. 1 ZPO).</w:t>
      </w:r>
    </w:p>
    <w:p>
      <w:r>
        <w:rPr>
          <w:b/>
        </w:rPr>
        <w:t>E. 2</w:t>
      </w:r>
    </w:p>
    <w:p>
      <w:r>
        <w:t>a) Mit der Beschwerde können unrichtige Rechtsanwendung oder offensichtlich unrichtige Feststellung des Sachverhalts geltend gemacht werden (Art. 320 ZPO). Vorab aber muss die Beschwerdeschrift konkrete Anträge enthal- ten, worauf schon in der vorinstanzlichen Rechtsmittelbelehrung hingewiesen wurde (Urk. 51 S. 14). Aus diesen Anträgen muss eindeutig hervorgehen, in wel- chem Umfang der vorinstanzliche Entscheid angefochten wird und wie der Ent-</w:t>
      </w:r>
    </w:p>
    <w:p>
      <w:r>
        <w:t>- 3 - scheid stattdessen zu lauten hätte, wobei auf Geldzahlungen gerichtete Anträge beziffert sein müssen. Ergeben sich auch unter Einbezug der Begründung (allen- falls in Verbindung mit dem angefochtenen Entscheid) keine genügenden Anträ- ge, ist auf die Beschwerde nicht einzutreten, ohne dass eine Nachfrist anzusetzen wäre (vgl. zum Ganzen BGE 137 III 617). b) Die Beschwerdeschrift des Klägers enthält keine Anträge zur Sache. Nachdem er in der Beschwerde geltend macht, die Vorinstanz habe seine Anträ- ge falsch interpretiert (Urk. 50 S. 1; wobei offen bleibt, was denn die "richtige" In- terpretation gewesen sein sollte), kann nicht einfach auf den von der Vorinstanz angenommenen Antrag (neues Vermögen nur im Umfang von Fr. 22'215.--) ab- gestellt werden. Auch aus der Begründung geht nicht hervor, was der Kläger mit seiner Beschwerde erreichen will. So macht er geltend, es sei der von ihm im vor- instanzlichen Verfahren verlangte Betrag von Fr. 2'000.-- pro Monat zusätzlich in seinem Bedarf zu berücksichtigen (Urk. 50 S. 3), was für die massgebende Perio- de von 7 Monaten und 10 Tagen (Urk. 4 S. 4) einem Betrag von Fr. 14'667.-- ent- sprechen würde, um den das neue Vermögen tiefer wäre; auch dies spricht gegen einen Beschwerdeantrag, dass neues Vermögen nur im Umfang von Fr. 22'215.-- festzustellen wäre. Der Kläger hat sodann die Berücksichtigung höherer Steuer- betreffnisse verlangt, ohne diese jedoch zu beziffern (Urk. 50 S. 2; auch vor Vor- instanz hatte er hierzu nur eine Anpassung verlangt, Urk. 2 S. 2 Ziff. 6). Letztlich bleibt unklar, was der Kläger mit der Beschwerde erreichen will: ob die Feststel- lung, dass er nur im Umfang von Fr. 22'215.-- zu neuem Vermögen gekommen sei (was von ihm aber als falsche Interpretation bezeichnet wird; vgl. oben), oder die Feststellung, dass er zu einem tieferen neuen Vermögen als Fr. 22'215.-- (welchem?) gekommen sei, oder die Feststellung, dass er zu gar keinem neuen Vermögen gekommen sei, oder die Feststellung, dass gar keine Schuld (bzw. Forderung der Beklagten) bestehe (der Kläger bringt in seiner Beschwerde vor, dass "die gesamte Forderung nicht rechtens" sei; Urk. 50 S. 1, S. 4). Letzteres könnte allerdings nicht Gegenstand des Beschwerdeverfahrens sein. c) Nach dem Gesagten kann mangels hinreichenden Anträgen auf die Beschwerde des Klägers nicht eingetreten werden.</w:t>
      </w:r>
    </w:p>
    <w:p>
      <w:r>
        <w:t>- 4 -</w:t>
      </w:r>
    </w:p>
    <w:p>
      <w:r>
        <w:rPr>
          <w:b/>
        </w:rPr>
        <w:t>E. 3</w:t>
      </w:r>
    </w:p>
    <w:p>
      <w:r>
        <w:t>Bei dieser Sachlage (Nichteintreten auf die Beschwerde) wird das Ge- such der Beklagten um Sicherstellung ihrer Parteientschädigung (ohnehin nur bei prozessualen Weiterungen verlangt; Urk. 55 S. 1) gegenstandslos.</w:t>
      </w:r>
    </w:p>
    <w:p>
      <w:r>
        <w:rPr>
          <w:b/>
        </w:rPr>
        <w:t>E. 4</w:t>
      </w:r>
    </w:p>
    <w:p>
      <w:r>
        <w:t>a) Mangels konkreter Anträge ist für das Beschwerdeverfahren von einem maximalen Streitwert von Fr. 26'076.-- auszugehen (Umfang des von der Vorinstanz festgestellten neuen Vermögens). Die zweitinstanzliche Entscheidge- bühr ist in Anwendung von § 4 Abs. 1 und 2, § 10 Abs. 1 und § 12 der Gerichts- gebührenverordnung auf Fr. 1'000.-- festzusetzen. b) Die Gerichtskosten des Beschwerdeverfahrens sind ausgangsgemäss dem unterliegenden Kläger aufzuerlegen (Art. 106 Abs. 1 ZPO). c) Für das Beschwerdeverfahren hat der Kläger zufolge des Unterliegens keinen Anspruch auf eine Entschädigung; der Beklagten erwuchs kein relevanter Aufwand (hinsichtlich ihres Gesuchs um Sicherstellung der Parteientschädigung wäre der Kläger nicht als unterliegend anzusehen). Demgemäss sind für das Be- schwerdeverfahren keine Parteientschädigungen zuzusprechen (Art. 95 Abs. 3,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