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PP160028 vom 28. Juni 2016</w:t>
      </w:r>
    </w:p>
    <w:p>
      <w:r>
        <w:t>ZH Obergericht, 2016-06-28, DE</w:t>
      </w:r>
    </w:p>
    <w:p>
      <w:r>
        <w:rPr>
          <w:b/>
        </w:rPr>
        <w:t xml:space="preserve">Quelle: </w:t>
      </w:r>
      <w:r>
        <w:t>https://mcp.opencaselaw.ch/entscheid/zh_obergericht_PP160028</w:t>
      </w:r>
    </w:p>
    <w:p>
      <w:r>
        <w:t>FR: ZH_OBERGERICHT PP160028 du 28 juin 2016</w:t>
      </w:r>
    </w:p>
    <w:p>
      <w:r>
        <w:t>IT: ZH_OBERGERICHT PP160028 del 28 giugno 2016</w:t>
      </w:r>
    </w:p>
    <w:p>
      <w:pPr>
        <w:pStyle w:val="Heading2"/>
      </w:pPr>
      <w:r>
        <w:t>Erwägungen</w:t>
      </w:r>
    </w:p>
    <w:p>
      <w:r>
        <w:rPr>
          <w:b/>
        </w:rPr>
        <w:t>E. 1</w:t>
      </w:r>
    </w:p>
    <w:p>
      <w:r>
        <w:t>a) Am 20. August 2015 hatte die Klägerin (damals anwaltlich vertre- ten) beim Bezirksgericht Meilen (Vorinstanz) eine Klage auf zusätzliche Kollokati- on von Forderungen von Fr. 22'506.-- in der ersten und Fr. 150'000.-- in der drit- ten Klasse der beklagten Konkursmasse eingereicht (Vi-Urk. 1); der Streitwert wurde mit Fr. 22'506.-- beziffert (Vi-Urk. 1 S. 4). Nach Einholung einer Stellung- nahme der Beklagten (VI-Urk. 10; samt einem Ordner Beilagen, Vi-Urk. 11) und Durchführung der Hauptverhandlung (Vi-Urk. 19) hatte die Vorinstanz mit Urteil vom 1. Dezember 2015 die Klage abgewiesen, soweit darauf eingetreten wurde (Vi-Urk. 23; nachträglich begründet, Vi-Urk. 32). Am 17. Mai 2016 hatte C._____ als Kläger im Verfahren CG150043 des Be- zirksgerichts Meilen um Akteneinsicht in von der Beklagten im vorinstanzlichen Kollokationsprozesses eingereichte Unterlagen und um entsprechende Neueröff- nung der Replikfrist in jenem Verfahren ersucht (Vi-Urk. 30). Mit Verfügung vom 20. Mai 2016 wurde dem Kläger die laufende Frist zur Einreichung der Replik ab- genommen und das Akteneinsichtsgesuch zur Behandlung im vorinstanzlichen Verfahren überwiesen (Vi-Urk. 29). Mit Verfügung vom 24. Mai 2016 wurde das Akteneinsichtsgesuch bewilligt und wurde Vi-Urk. 11 an C._____ zur Einsicht- nahme zugestellt (Vi-Urk. 31 = Urk. 2). b) Am 13. Juni 2016 hat die Klägerin (persönlich) Beschwerde gegen die Verfügung der Vorinstanz vom 20. Mai 2016 im Verfahren CG150043-G und ge- gen die Verfügung vom 24. Mai 2016 im Verfahren FV150055-G erhoben und stellt die Beschwerdeanträge (Urk. 1 S. 2): "1. Es darf keine Verwendung von den Verfahrensakten von A._____ statt- finden, die der Kläger C._____ vom Bezirksgericht Meilen erhalten hat.</w:t>
      </w:r>
    </w:p>
    <w:p>
      <w:r>
        <w:rPr>
          <w:b/>
        </w:rPr>
        <w:t>E. 2</w:t>
      </w:r>
    </w:p>
    <w:p>
      <w:r>
        <w:t>Es darf der Antrag des Klägers C._____ um Fristverlängerung von zu- sätzlichen 36 Tagen nicht bewilligt werden.</w:t>
      </w:r>
    </w:p>
    <w:p>
      <w:r>
        <w:rPr>
          <w:b/>
        </w:rPr>
        <w:t>E. 3</w:t>
      </w:r>
    </w:p>
    <w:p>
      <w:r>
        <w:t>Angemessene Parteientschädigung.</w:t>
      </w:r>
    </w:p>
    <w:p>
      <w:r>
        <w:rPr>
          <w:b/>
        </w:rPr>
        <w:t>E. 4</w:t>
      </w:r>
    </w:p>
    <w:p>
      <w:r>
        <w:t>Alles unter Kosten- und Entschädigungsfolgen zulasten des Antragstel- lers (Kläger) Staat."</w:t>
      </w:r>
    </w:p>
    <w:p>
      <w:r>
        <w:t>- 3 - c) Nachdem sich die Beschwerde gegen zwei verschiedene Verfügungen (in zwei verschiedenen Verfahren) richtet, mussten dafür zwei Beschwerdeverfah- ren (das vorliegende und das Verfahren RB160015-O) angelegt werden. Die vor- instanzlichen Akten wurden beigezogen. Da sich die Beschwerde sogleich als of- fensichtlich unzulässig erweist (vgl. nachstehend Erwägung 2), kann auf die Ein- holung einer Beschwerdeantwort verzichtet werden (Art. 322 Abs. 1 ZPO). 2. Die angefochtene Verfügung vom 24. Mai 2016 wurde der Klägerin am 30. Mai 2016 zugestellt (Vi-Urk. 33/2). Die Frist zur Erhebung der Beschwerde be- trägt 10 Tage (Art. 321 Abs. 2 ZPO), was auch in der Rechtsmittelbelehrung (Urk. 2 S. 3 Ziffer 4) korrekt dargelegt wurde. Die Frist lief demnach am 9. Juni 2016 ab (Art. 142 ZPO). Die am 13. Juni 2016 zur Post gegebene Beschwerde ist damit verspätet erhoben worden. Auf die Beschwerde kann demgemäss nicht eingetreten werden. 3. a) Die Vorinstanz ging von einem Streitwert von Fr. 22'506.-- aus (Vi-Urk. 4 S. 2). Die zweitinstanzliche Entscheidgebühr ist in Anwendung von § 9 Abs. 1, § 10 Abs. 1 und § 12 der Gerichtsgebührenverordnung auf Fr. 500.-- fest- zusetzen. b) Die Gerichtskosten des Beschwerdeverfahrens sind ausgangsgemäss der Klägerin aufzuerlegen (Art. 106 Abs. 1 ZPO). c) Für das Beschwerdeverfahren sind keine Parteientschädigungen zuzu- sprechen, der Klägerin zufolge ihres Unterliegens, der Beklagten mangels rele- 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