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PP150030 vom 14. Januar 2016</w:t>
      </w:r>
    </w:p>
    <w:p>
      <w:r>
        <w:t>ZH Obergericht, 2016-01-14, DE</w:t>
      </w:r>
    </w:p>
    <w:p>
      <w:r>
        <w:rPr>
          <w:b/>
        </w:rPr>
        <w:t xml:space="preserve">Quelle: </w:t>
      </w:r>
      <w:r>
        <w:t>https://mcp.opencaselaw.ch/entscheid/zh_obergericht_PP150030</w:t>
      </w:r>
    </w:p>
    <w:p>
      <w:r>
        <w:t>FR: ZH_OBERGERICHT PP150030 du 14 janvier 2016</w:t>
      </w:r>
    </w:p>
    <w:p>
      <w:r>
        <w:t>IT: ZH_OBERGERICHT PP150030 del 14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CHF 6'722.87 Hauptforderungssaldo, nebst</w:t>
      </w:r>
    </w:p>
    <w:p>
      <w:r>
        <w:rPr>
          <w:b/>
        </w:rPr>
        <w:t>E. 2</w:t>
      </w:r>
    </w:p>
    <w:p>
      <w:r>
        <w:t>gesetzliche Zinsen zu 5.00% ab 11.02.2011</w:t>
      </w:r>
    </w:p>
    <w:p>
      <w:r>
        <w:t>- 3 -</w:t>
      </w:r>
    </w:p>
    <w:p>
      <w:r>
        <w:rPr>
          <w:b/>
        </w:rPr>
        <w:t>E. 2.2</w:t>
      </w:r>
    </w:p>
    <w:p>
      <w:r>
        <w:t>In der Folge entschied die Vorinstanz mit Urteil und Verfügung vom 8. Juni 2015 über die Klage. Der Entscheid erging zunächst unbegründet. Das Urteil lau- tete wie folgt (act. 21 S. 2 f.):</w:t>
      </w:r>
    </w:p>
    <w:p>
      <w:r>
        <w:rPr>
          <w:b/>
        </w:rPr>
        <w:t>E. 3</w:t>
      </w:r>
    </w:p>
    <w:p>
      <w:r>
        <w:t>CHF 600.00 Gerichtskosten Vorinstanzen, zuzüglich Zins von 5% seit 06.08.2014 unter Kosten und Entschädigungsfolgen zu Lasten der Beklagten […] zu bezahlen." Die schriftliche Stellungahme des Beklagten zur begründeten Klage der Klägerin datiert vom 4. Februar 2014 (act. 11). Anlässlich der auf den 12. Mai 2015 anbe- raumten Hauptverhandlung erstattete die Klägerin die Replik, der Beklagte die Duplik und die Parteien erhielten Gelegenheit, zu den Noven Stellung zu nehmen (act. 18; Prot. Vi S. 5 ff.). Die Klägerin stellte sich im Wesentlichen auf den Stand- punkt, bei dem von ihr geforderten Forderungsbetrag handle es sich um an den Beklagten geflossene Retrozessionen, für welche dem ursprünglichen Gläubiger C._____ ein Rückforderungsanspruch zustehe. Es liege kein (gültiger) Verzicht auf Rückerstattung vor (act. 2 S. 2 und 4 f.). Der Beklagte hielt dem zusammen- gefasst entgegen, bei der gestellten Forderung handle es sich im Umfang von Fr. 2'272.70 um Honorar und nicht um Retrozessionen. Überdies habe C._____ gültig auf die Rückerstattung der Retrozessionen verzichtet (act. 11 S. 3 f.; Prot. Vi S. 11 ff.).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