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PP150014 vom 21. Oktober 2015</w:t>
      </w:r>
    </w:p>
    <w:p>
      <w:r>
        <w:t>ZH Obergericht, 2015-10-21, DE</w:t>
      </w:r>
    </w:p>
    <w:p>
      <w:r>
        <w:rPr>
          <w:b/>
        </w:rPr>
        <w:t xml:space="preserve">Quelle: </w:t>
      </w:r>
      <w:r>
        <w:t>https://mcp.opencaselaw.ch/entscheid/zh_obergericht_PP150014</w:t>
      </w:r>
    </w:p>
    <w:p>
      <w:r>
        <w:t>FR: ZH_OBERGERICHT PP150014 du 21 octobre 2015</w:t>
      </w:r>
    </w:p>
    <w:p>
      <w:r>
        <w:t>IT: ZH_OBERGERICHT PP150014 del 21 ottobre 2015</w:t>
      </w:r>
    </w:p>
    <w:p>
      <w:pPr>
        <w:pStyle w:val="Heading2"/>
      </w:pPr>
      <w:r>
        <w:t>Erwägungen</w:t>
      </w:r>
    </w:p>
    <w:p>
      <w:r>
        <w:rPr>
          <w:b/>
        </w:rPr>
        <w:t>E. 1</w:t>
      </w:r>
    </w:p>
    <w:p>
      <w:r>
        <w:t>Sachverhalt und Prozessgeschichte</w:t>
      </w:r>
    </w:p>
    <w:p>
      <w:r>
        <w:rPr>
          <w:b/>
        </w:rPr>
        <w:t>E. 1.1</w:t>
      </w:r>
    </w:p>
    <w:p>
      <w:r>
        <w:t>Am 14. März 2011 bestellte die Klägerin und Beschwerdeführerin (fortan Klägerin), handelnd durch ihren Gesellschafter und Geschäftsführer C._____, für ihr (Leasing-)Fahrzeug Audi RS4 Avant bei der damaligen Einzelunternehmung Garage-B._____, der Rechtsvorgängerin der heutigen Beklagten und Beschwer- degegnerin (fortan Beklagte), vier Forgerline Alufelgen SO3P und vier Michelin Reifen 255/30/20 zu einem Preis von insgesamt Fr. 9'170.30 (Fr. 6'496.– und Fr. 1'760.– zuzüglich Beschaffungskosten, Reifenmontage und Mehrwertsteuer; act. 3/4). Die Klägerin leistete sogleich eine Anzahlung von Fr. 2'000.–; den Rest- kaufpreis von Fr. 7'170.30 bezahlte sie nach der Montage der Felgen und Reifen im Mai 2011. In der Folge war die Klägerin mit den Felgen samt Reifen nicht zu- frieden und machte Mangelhaftigkeit der gelieferten Ware geltend: Die Räder streiften am Radkasten des Fahrzeuges und es solle zu starken Vibrationen bei Regen bzw. hohen Geschwindigkeiten kommen. Das Streifen und die Vibrationen konnten nach dem Dafürhalten der Klägerin nicht behoben werden. Mit Schreiben vom 24. Juli 2012 liess die Klägerin Wandelung des Kaufvertrages erklären und forderte von der Beklagten den bezahlten Betrag von Fr. 9'170.30 zurück (act. 3/8). Die Beklagte erstattete den Kaufpreis nicht.</w:t>
      </w:r>
    </w:p>
    <w:p>
      <w:r>
        <w:rPr>
          <w:b/>
        </w:rPr>
        <w:t>E. 1.2</w:t>
      </w:r>
    </w:p>
    <w:p>
      <w:r>
        <w:t>Am 22. März 2013 machte die Klägerin gegen die Beklagte eine Forde- rungsklage beim Einzelgericht am Bezirksgericht Hinwil anhängig (act. 1 und 2). Sie beantragte, die Beklagte sei aus Wandelung des Kaufvertrages über die vier Forgeline Alufelgen SO3P samt Michelin Reifen zu verpflichten, ihr Fr. 9'170.30 zuzüglich Zins und Betreibungskosten zu bezahlen und es sei der Rechtsvor- schlag in der Betreibung Nr. ... des Betreibungsamtes Hinwil zu beseitigen. Nachdem die Beklagte auf eine vorgängige schriftliche Stellungnahme verzichtet hatte (act. 9 und 11), wurden die Parteien zur Hauptverhandlung auf den 23. Au- gust 2013 vorgeladen (act. 12). An der Hauptverhandlung erfolgten Klagebegrün- dung, Klageantwort, Replik, Duplik sowie eine Stellungnahme zu den Noven (act. 15 und 17, Prot. VI S. 6 ff.). Die Beklagte beantragte die vollumfängliche Ab-</w:t>
      </w:r>
    </w:p>
    <w:p>
      <w:r>
        <w:t>- 3 - weisung der Klage sowie die Anweisung der Klägerin zur Veranlassung der Lö- schung der Betreibung Nr. ... des Betreibungsamtes Hinwil (act. 17 S. 1). Am Tag der Hauptverhandlung wurde sodann ein Augenschein am mit den Felgen be- stückten Fahrzeug der Klägerin vorgenommen (Prot. VI S. 11 und act. 19/1-6). In der Verfügung vom 11. Februar 2014 wurden die Beweissätze genannt und der Haupt- bzw. Gegenbeweis auferlegt. Es wurde verfügt, dass vorerst nur gewisse Beweismittel abgenommen werden und dass die allfällige Abnahme weiterer Be- weismittel zu einem späteren Zeitpunkt erfolge (act. 30). Am 23. Mai 2014 erfolgte die Einvernahme der Zeugen D._____ (ein von der Klä- gerin engagierter Privatdetektiv), E._____ (ein ehemaliger Arbeitnehmer und Be- kannter von C._____) und F._____ (ein Mitarbeiter der Firma G._____ AG) sowie die Beweisaussage von H._____, dem Geschäftsführer der Beklagten (act. 38, 38, 39 und 44). Aufgrund seines wiederholt störenden Verhaltens während der Befragung von E._____ wurde C._____, Geschäftsführer der Klägerin, für die wei- tere Zeugenbefragung aus dem Saal verwiesen. Das Gericht machte C._____ da- rauf aufmerksam, dass er für die Parteibefragungen vom Nachmittag wieder zu- gelassen sei, woraufhin dieser mitteilte, dass er am Nachmittag nicht mehr kom- men werde und er an ein anderes Gericht gehen werde (act. 38 S. 4 f.). Nach Ab- schluss der Zeugeneinvernahmen ersuchte der damalige Rechtsvertreter der Klä- gerin um Verschiebung der persönlichen Befragung der Parteien. Während der Mittagspause gingen zwei Faxsendungen von C._____ ein (act. 41: Verhand- lungsunfähigkeitszeugnis, act. 42: Schreiben von C._____, worin er ausführt, dass er nicht an den Termin komme, um nicht auf den Richter loszugehen, wel- cher gegen jeden seiner Zeugen sei und ihn zu Unrecht aus dem Gerichtssaal verwiesen habe; er werde gegen den Richter etwas unternehmen und bei der zu- ständigen Behörde klagen). In der Folge wies das Gericht das Verschiebungsge- such ab. Es erwog, dass der Geschäftsführer der Klägerin zwar ein Verhand- lungsunfähigkeitszeugnis eingereicht habe, welches eine "Krankheit" erwähne, sich jedoch aufgrund der Eingabe sowie des Verhaltens des Geschäftsführers klarerweise ergebe, dass es sich dabei lediglich um ein prozesstaktisch erstelltes Dokument handle, und er in seinem Fax-Schreiben auch in keiner Weise auf eine</w:t>
      </w:r>
    </w:p>
    <w:p>
      <w:r>
        <w:t>- 4 - angebliche Krankheit Bezug nehme. Sodann könne überdies nicht davon ausge- gangen werden, dass C._____ innerhalb von knapp drei Stunden derart massiv erkrankt wäre, dass ihm eine Teilnahme an der weiteren Verhandlung nicht mög- lich wäre und solches wie erwähnt mit keinem Wort geltend gemacht werde (act. 43, Prot. VI S. 45). Nach der Durchführung der Befragung des Geschäftsführers der Beklagten, H._____, fanden die Schlussvorträge statt (Prot. VI S. 46). Am 2. Juni 2014 erhob die Klägerin gegen die Abweisung des Verschiebungsge- suches beim Obergericht Beschwerde (act. 54). Gleichentags stellte sie bei der Vorinstanz ein Gesuch um Wiederherstellung sowie um Sistierung des Verfahrens bis zum Vorliegen des Beschwerdeentscheides des Obergerichts (act. 53). Dies- bezüglich setzte die Vorinstanz der Beklagten Frist zur Stellungnahme an (act. 56), woraufhin sich die Beklagte mit Eingabe vom 16. Juni 2014 zu den Ge- suchen äusserte (act. 59). Mit Verfügung vom 19. Juni 2014 wies die Vorinstanz das Wiederherstellungsbegehren ab und sistierte das Verfahren für die Dauer des Beschwerdeverfahrens betreffend der Verfügung vom 23. Mai 2014 (act. 60). Mit Beschluss vom 2. September 2014 trat das Obergericht mangels nicht leicht wie- dergutzumachendem Nachteil auf die Beschwerde nicht ein (act. 62). Am 26. Februar 2015 erliess die Vorinstanz folgendes Urteil in der Sache (act. 67 = 76 = 77 S. 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