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PP140018 vom 11. April 2014</w:t>
      </w:r>
    </w:p>
    <w:p>
      <w:r>
        <w:t>ZH Obergericht, 2014-04-11, DE</w:t>
      </w:r>
    </w:p>
    <w:p>
      <w:r>
        <w:rPr>
          <w:b/>
        </w:rPr>
        <w:t xml:space="preserve">Quelle: </w:t>
      </w:r>
      <w:r>
        <w:t>https://mcp.opencaselaw.ch/entscheid/zh_obergericht_PP140018</w:t>
      </w:r>
    </w:p>
    <w:p>
      <w:r>
        <w:t>FR: ZH_OBERGERICHT PP140018 du 11 avril 2014</w:t>
      </w:r>
    </w:p>
    <w:p>
      <w:r>
        <w:t>IT: ZH_OBERGERICHT PP140018 del 11 aprile 2014</w:t>
      </w:r>
    </w:p>
    <w:p>
      <w:pPr>
        <w:pStyle w:val="Heading2"/>
      </w:pPr>
      <w:r>
        <w:t>Erwägungen</w:t>
      </w:r>
    </w:p>
    <w:p>
      <w:r>
        <w:rPr>
          <w:b/>
        </w:rPr>
        <w:t>E. 1</w:t>
      </w:r>
    </w:p>
    <w:p>
      <w:r>
        <w:t>a) Am 18. Februar 2014 ging beim Bezirksgericht Zürich (Vorin- stanz) eine Forderungsklage über CHF 25'000.-- samt entsprechender Klagebe- willigung des Friedensrichteramts … vom 18. Dezember 2013 ein (Vi- Urk. 1 und 2). Mit Verfügung vom 21. Februar 2014 (Vi-Urk. 5 = Urk. 2) setzte die Vorinstanz dem Kläger je eine Frist zur Leistung eines Gerichtskostenvorschusses von CHF 3'550.-- (Dispositiv-Ziff. 1) sowie zur Bezeichnung eines Zustellungsdomizils in der Schweiz (Disp.-Ziff. 2). Diese Verfügung wurde dem Kläger auf dem Rechtshilfeweg am 21. März 2014 zugestellt (Vi-Urk. 6-8 und 11-12). b) Hiergegen hat der Kläger am 28. März 2014 fristgerecht Beschwerde erhoben und stellt die Beschwerdeanträge (Urk. 1 S. 3): "Ich beantrage darum, die Verfügung Nr. 2 aufzuheben und dem Bezirksge- richt Zürich eine Regelzustellung anzuordnen. Am einfachsten ginge das wie im Vorverfahren beim Friedensrichter mit Brief gegen Empfangsbestätigung oder eben über die Einschreibedienstleistungen der Schweizerischen Post. Als Alternative würde sich auch die elektronische Zustellung nach Art. 139 ZPO an meine E-Mail Adresse [...] anbieten. Ich kenne jedoch die Sonderre- gelungen hierzu nicht. Da ich erst die Entscheidung über diese Beschwerde abwarten muss, lege ich auch gegen die Nr. 1 Beschwerde ein. Ich werde den Kostenvorschuss be- zahlen, wenn ich weiβ, dass ich rechtmäβig und nicht willkürlich behandelt werde. Bitte geben Sie mir auch die IBAN und BIC des Kontos der Bezirksge- richtskasse Zürich bekannt, damit ich ordnungsgemäβ überweisen kann." c) Die vorinstanzlichen Akten wurden beigezogen. Da sich die Beschwer- de sogleich als unbegründet bzw. unzulässig erweist, kann auf die Einholung ei- ner Beschwerdeantwort verzichtet werden (Art. 322 Abs. 1 ZPO).</w:t>
      </w:r>
    </w:p>
    <w:p>
      <w:r>
        <w:rPr>
          <w:b/>
        </w:rPr>
        <w:t>E. 2</w:t>
      </w:r>
    </w:p>
    <w:p>
      <w:r>
        <w:t>Mit der Beschwerde können unrichtige Rechtsanwendung und offen- sichtlich unrichtige Feststellung des Sachverhalts geltend gemacht werden (Art. 320 ZPO). Dabei gilt das Rügeprinzip, d.h. in der Beschwerde muss im Ein- zelnen dargelegt werden, was genau am angefochtenen Entscheid unrichtig sein</w:t>
      </w:r>
    </w:p>
    <w:p>
      <w:r>
        <w:t>- 3 - soll (Sutter-Somm/Hasenböhler/Leuenberger [Hrsg.], Kommentar zur Schweizeri- schen Zivilprozessordnung, 2.A. 2013, N 15 zu Art. 321 ZPO; Sterchi, BE-Kom- mentar, N 17 ff. zu Art. 321 ZPO); was nicht gerügt wird, hat grundsätzlich Be- stand. Neue Anträge, neue Tatsachenbehauptungen und neue Beweismittel sind im Beschwerdeverfahren ausgeschlossen (Art. 326 Abs. 1 ZPO).</w:t>
      </w:r>
    </w:p>
    <w:p>
      <w:r>
        <w:rPr>
          <w:b/>
        </w:rPr>
        <w:t>E. 3</w:t>
      </w:r>
    </w:p>
    <w:p>
      <w:r>
        <w:t>Beschwerde gegen den Gerichtskostenvorschuss a) Die Vorinstanz hat erwogen, aufgrund des Streitwerts würden (ohne Beweisverfahren) Gerichtskosten von mutmasslich CHF 3'550.-- anfallen. In An- wendung von Art. 98 ZPO sei vom Kläger ein Kostenvorschuss in dieser Höhe zu verlangen (Urk. 2 S. 2). b) Auch diese Anordnung ist eine prozessleitende Verfügung. Aufgrund ausdrücklicher gesetzlicher Vorschrift ist gegen diese eine Beschwerde allerdings auch ohne Nachweis eines nicht leicht wiedergutzumachenden Nachteils zulässig (Art. 319 lit. b Ziff. 1 in Verbindung mit Art. 103 ZPO). c) Der Kläger begründet seine Beschwerde gegen die Verpflichtung zur Leistung des Gerichtskostenvorschusses mit keinem Wort. Dass er den Kosten- vorschuss zahlen werde, wenn er wisse, dass er nicht willkürlich behandelt werde, ist keine Begründung. d) Demgemäss kann auf die Beschwerde auch in diesem Punkt, und da- mit vollumfänglich, nicht eingetreten werden.</w:t>
      </w:r>
    </w:p>
    <w:p>
      <w:r>
        <w:t>- 5 -</w:t>
      </w:r>
    </w:p>
    <w:p>
      <w:r>
        <w:rPr>
          <w:b/>
        </w:rPr>
        <w:t>E. 4</w:t>
      </w:r>
    </w:p>
    <w:p>
      <w:r>
        <w:t>Seiner Bitte entsprechend sind dem Kläger die gewünschten Daten der Bezirksgerichtskasse Zürich mitzuteilen (im Internet unter www.postfinance.ch ab- rufbar): IBAN: CH59 0900 0000 8000 4713 0; BIC: POFICHBEXXX.</w:t>
      </w:r>
    </w:p>
    <w:p>
      <w:r>
        <w:rPr>
          <w:b/>
        </w:rPr>
        <w:t>E. 5</w:t>
      </w:r>
    </w:p>
    <w:p>
      <w:r>
        <w:t>a) Die zweitinstanzliche Entscheidgebühr ist in Anwendung von § 2, § 9 Abs. 1 und § 12 Abs. 1 der Gerichtsgebührenverordnung auf Fr. 200.– festzu- setzen. b) Die Gerichtskosten des Beschwerdeverfahrens sind ausgangsgemäss dem Kläger aufzuerlegen (Art. 106 Abs. 1 ZPO). c) Für das Beschwerdeverfahren sind keine Parteientschädigungen zuzu- sprechen, der Beklagten mangels relevanter Umtriebe (vgl. Art. 95 Abs. 3 ZPO), dem Kläger zufolge seines Unterliegens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