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PP130025 vom 23. Juli 2013</w:t>
      </w:r>
    </w:p>
    <w:p>
      <w:r>
        <w:t>ZH Obergericht, 2013-07-23, DE</w:t>
      </w:r>
    </w:p>
    <w:p>
      <w:r>
        <w:rPr>
          <w:b/>
        </w:rPr>
        <w:t xml:space="preserve">Quelle: </w:t>
      </w:r>
      <w:r>
        <w:t>https://mcp.opencaselaw.ch/entscheid/zh_obergericht_PP130025</w:t>
      </w:r>
    </w:p>
    <w:p>
      <w:r>
        <w:t>FR: ZH_OBERGERICHT PP130025 du 23 juillet 2013</w:t>
      </w:r>
    </w:p>
    <w:p>
      <w:r>
        <w:t>IT: ZH_OBERGERICHT PP130025 del 23 luglio 2013</w:t>
      </w:r>
    </w:p>
    <w:p>
      <w:pPr>
        <w:pStyle w:val="Heading2"/>
      </w:pPr>
      <w:r>
        <w:t>Erwägungen</w:t>
      </w:r>
    </w:p>
    <w:p>
      <w:r>
        <w:rPr>
          <w:b/>
        </w:rPr>
        <w:t>E. 1</w:t>
      </w:r>
    </w:p>
    <w:p>
      <w:r>
        <w:t>a) Die Parteien stehen seit dem 19. September 2012 vor Erstinstanz in einem Forderungsprozess (vgl. Urk. 4/3 S. 1). Am 14. Februar 2013 fand die Hauptverhandlung statt; am 7. März 2013 erging die Beweisverfügung. b) Mit Verfügung vom 28. Mai 2013 entschied der Vorderrichter das Folgen- de (Urk. 2 S. 3 f.): " 1. Die Eingabe der Beklagten vom 13. Mai 2013 wird aus dem Recht gewiesen, soweit sie neue Behauptungen enthält.</w:t>
      </w:r>
    </w:p>
    <w:p>
      <w:r>
        <w:rPr>
          <w:b/>
        </w:rPr>
        <w:t>E. 2</w:t>
      </w:r>
    </w:p>
    <w:p>
      <w:r>
        <w:t>Der Beklagten wird eine Frist von 10 Tagen ab Zustellung dieser Verfügung angesetzt, um dem Gericht die Beilage 16 zu ihrer Ein- gabe vom 13. Mai 2013 einzureichen. Im Säumnisfalle ist sie mit dieser Urkunde als Beweismittel zu Be- weissatz 2 der Verfügung vom 7. März 2013 ausgeschlossen.</w:t>
      </w:r>
    </w:p>
    <w:p>
      <w:r>
        <w:rPr>
          <w:b/>
        </w:rPr>
        <w:t>E. 3</w:t>
      </w:r>
    </w:p>
    <w:p>
      <w:r>
        <w:t>Der Beklagten wird eine Frist von 10 Tagen ab Zustellung dieser Verfügung angesetzt, um die Beweisstellen in der Urkundensamm- lung act. 33/1-32 im Einzelnen genau anzugeben, mit denen nach- gewiesen werden soll, dass die Beklagte zwischen August 2010 und Januar 2012 die Klägerin aufgefordert hat, eine Schlussab- rechnung im Sinne von SIA Norm 118 zu erstellen. Soweit die Beklagte diese Beweisstellen nicht im Einzelnen genau angibt, ist sie mit der Urkundensammlung act. 33/1-32 als Beweis- mittel zu Beweissatz 2 der Verfügung vom 7. März 2013 ausge- schlossen.</w:t>
      </w:r>
    </w:p>
    <w:p>
      <w:r>
        <w:rPr>
          <w:b/>
        </w:rPr>
        <w:t>E. 4</w:t>
      </w:r>
    </w:p>
    <w:p>
      <w:r>
        <w:t>Die Fristen dieser Verfügung sind nur noch einmal um höchstens weitere 10 Tage erstreckbar.</w:t>
      </w:r>
    </w:p>
    <w:p>
      <w:r>
        <w:rPr>
          <w:b/>
        </w:rPr>
        <w:t>E. 5</w:t>
      </w:r>
    </w:p>
    <w:p>
      <w:r>
        <w:t>Schriftliche Mitteilung an die Parteien, an den Kläger unter Beilage je eines Doppels der Urk. 1 und 3, sowie an das Bezirksgericht Zürich, 6. Abteilung, Einzelgericht, je gegen Empfangsschein.</w:t>
      </w:r>
    </w:p>
    <w:p>
      <w:r>
        <w:t>- 5 -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 sache beträgt Fr. 17'300.–. Die Beschwerde an das Bundesgericht hat keine aufschiebende Wirkung. Hinsichtlich des Fristenlaufs gelten die Art. 44 ff. BGG. Zürich, 23. Juli 2013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