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PP120033 vom 16. Oktober 2012</w:t>
      </w:r>
    </w:p>
    <w:p>
      <w:r>
        <w:t>ZH Obergericht, 2012-10-16, DE</w:t>
      </w:r>
    </w:p>
    <w:p>
      <w:r>
        <w:rPr>
          <w:b/>
        </w:rPr>
        <w:t xml:space="preserve">Quelle: </w:t>
      </w:r>
      <w:r>
        <w:t>https://mcp.opencaselaw.ch/entscheid/zh_obergericht_PP120033</w:t>
      </w:r>
    </w:p>
    <w:p>
      <w:r>
        <w:t>FR: ZH_OBERGERICHT PP120033 du 16 octobre 2012</w:t>
      </w:r>
    </w:p>
    <w:p>
      <w:r>
        <w:t>IT: ZH_OBERGERICHT PP120033 del 16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Eingabe vom 2. April 2012 machte die Klägerin und Beschwerde- gegnerin (fortan Klägerin) am 3. April 2012 folgendes Rechtsbegehren unter Bei- lage der Klagebewilligung des Friedensrichteramtes C._____ (Urk. 1) bei der Vo- rinstanz anhängig (Urk. 3/2 S. 1 f.): " 1. Die Beklagte sei zu verpflichten, der Klägerin den Betrag von CHF 27'870.– nebst Zins zu 5 % seit 9.2.2011 sowie die Friedens- richterkosten im Betrag von Fr. 525.– zu bezahlen.</w:t>
      </w:r>
    </w:p>
    <w:p>
      <w:r>
        <w:rPr>
          <w:b/>
        </w:rPr>
        <w:t>E. 2</w:t>
      </w:r>
    </w:p>
    <w:p>
      <w:r>
        <w:t>Unter Kosten- und Entschädigungsfolgen zu Lasten der Klägerin.</w:t>
      </w:r>
    </w:p>
    <w:p>
      <w:r>
        <w:rPr>
          <w:b/>
        </w:rPr>
        <w:t>E. 3</w:t>
      </w:r>
    </w:p>
    <w:p>
      <w:r>
        <w:t>a) Die Prozesskosten werden der unterliegenden Partei auferlegt. Bei Nichteintreten gilt die klagende Partei bzw. die Partei, welche das Rechtsmittel erhoben hat, als unterliegend (vgl. Art. 106 Abs. 1 ZPO), weshalb der Beklagten die Prozesskosten des Beschwerdeverfahrens aufzuerlegen sind. Für deren Be- messung gelangen § 2, § 4 Abs. 1 und 2, § 10 Abs. 1 und § 12 Abs. 1 und 2 GebV OG zur Anwendung. b) Mangels wesentlicher Umtriebe ist der Klägerin für das Beschwerdever- fahren keine Entschädigung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