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PP120032 vom 21. Juni 2013</w:t>
      </w:r>
    </w:p>
    <w:p>
      <w:r>
        <w:t>ZH Obergericht, 2013-06-21, DE</w:t>
      </w:r>
    </w:p>
    <w:p>
      <w:r>
        <w:rPr>
          <w:b/>
        </w:rPr>
        <w:t xml:space="preserve">Quelle: </w:t>
      </w:r>
      <w:r>
        <w:t>https://mcp.opencaselaw.ch/entscheid/zh_obergericht_PP120032</w:t>
      </w:r>
    </w:p>
    <w:p>
      <w:r>
        <w:t>FR: ZH_OBERGERICHT PP120032 du 21 juin 2013</w:t>
      </w:r>
    </w:p>
    <w:p>
      <w:r>
        <w:t>IT: ZH_OBERGERICHT PP120032 del 21 giugno 2013</w:t>
      </w:r>
    </w:p>
    <w:p>
      <w:pPr>
        <w:pStyle w:val="Heading2"/>
      </w:pPr>
      <w:r>
        <w:t>Erwägungen</w:t>
      </w:r>
    </w:p>
    <w:p>
      <w:r>
        <w:rPr>
          <w:b/>
        </w:rPr>
        <w:t>E. 1</w:t>
      </w:r>
    </w:p>
    <w:p>
      <w:r>
        <w:t>Die Beklagte und Beschwerdegegnerin (fortan Beklagte) führt für C._____, geboren am tt.mm.1999, eine Beistandschaft. Im Juli 2008 wurde durch die Beiständin von C._____, D._____, eine sozialpädagogische Familienbeglei- tung initiiert, damit alle zwei Wochen begleitete Besuche der Kindsmutter bei C._____ im Kinderheim E._____ in F._____, wo C._____ platziert war, stattfinden konnten. Der Kläger und Beschwerdeführer (fortan Kläger) wurde als Inhaber der Firma G._____ (fortan G._____) damit beauftragt, eine solche Besuchsbegleitung zu organisieren. Die Besuche wurden in der Folge durch H._____ als Mitarbeiterin der G._____ begleitet (Urk. 2; Urk. 12). Für die Zeiträume vom 15. Juli 2008 bis 14. Juli 2009 sowie vom 15. Juli 2009 bis 14. Juli 2010 wurden von der Sozialbe- hörde der Stadt Zürich mit jeweiligem Entscheid vom 10. Juli 2008 und 25. Juni 2009 zwei Kostengutsprachen für den Einsatz der "sozialpädagogi- schen/sozialpsychiatrischen" Besuchsbegleitung für C._____, welche von der G._____ durchgeführt worden ist, erteilt. Dies geschah jeweils nach vorgängiger schriftlicher Anfrage durch den Kläger. So erstellte der Kläger am 22. Mai 2008</w:t>
      </w:r>
    </w:p>
    <w:p>
      <w:r>
        <w:t>- 4 - einen schriftlichen Kostenvoranschlag für die Besuchsbegleitung und bat um ent- sprechende Kostengutsprache. Das Schreiben war an Frau I._____, E._____ F._____, adressiert (Urk. 13/1). Mit Schreiben vom 16. Juni 2009, welches an die Beiständin D._____ gerichtet war, bat der Kläger um eine Weiterführung der Be- gleitung und eine erneute Kostengutsprache (Urk. 13/3). Strittig ist zwischen den Parteien nunmehr, ob die Beklagte die ab Juli 2010 angefallenen Kosten für die erbrachten Leistungen der G._____ von behaupteten Fr. 4'659.– zu bezahlen ha- be.</w:t>
      </w:r>
    </w:p>
    <w:p>
      <w:r>
        <w:rPr>
          <w:b/>
        </w:rPr>
        <w:t>E. 2</w:t>
      </w:r>
    </w:p>
    <w:p>
      <w:r>
        <w:t>Die Vorinstanz wies die Klage gestützt auf zwei Alternativbegründungen ab. In einer ersten Begründung erwog sie, die Beklagte führe für C._____ eine Beistandschaft. Im Rahmen dieser Beistandschaft sei im Juli 2008 durch D._____ eine sozialpädagogische Familienbegleitung initiiert worden. In der Folge seien in der Zeit zwischen Juli 2008 und Juli 2010 die Besuche der Kindsmutter bei C._____ im Kinderheim E._____ von H._____ von der G._____ begleitet worden, für welche auch entsprechende Kostengutsprachen vorliegen würden. Diese Kos- tengutsprachen würden aber nur Leistungen, die für C._____ und nicht für dessen Mutter erbracht wurden, betreffen. Am 10. Mai 2010 sei anlässlich einer im Kin- derheim E._____ abgehaltenen Sitzung entschieden worden, dass sich H._____ in Zukunft auf die Begleitung der Kindsmutter konzentrieren werde. Es sei vom Kläger nicht bestritten worden, dass ab dem 14. Juli 2010 keine Begleitung für C._____ mehr durch die G._____ erfolgt sei. Die Leistungen, die nach dem 14. Juli 2010 durch die G._____ erbracht worden seien, hätten somit nicht im Aufgabenbereich der Beklagten gelegen. Da diese nur eine Beistandschaft für C._____ führe und keine Rechtsbeziehung zwischen der Beklagten und der Kindsmutter bestehe, habe sie auch nicht für die von der G._____ für die Kinds-</w:t>
      </w:r>
    </w:p>
    <w:p>
      <w:r>
        <w:t>- 6 - mutter erbrachten Leistungen aufzukommen. Die Beklagte sei nicht die materiell Verpflichtete der gegen sie geltend gemachten Forderung. Entsprechend wies die Vorinstanz die Klage wegen mangelnder Passivlegitimation der Beklagten ab (Urk. 31 S. 7).</w:t>
      </w:r>
    </w:p>
    <w:p>
      <w:r>
        <w:rPr>
          <w:b/>
        </w:rPr>
        <w:t>E. 3</w:t>
      </w:r>
    </w:p>
    <w:p>
      <w:r>
        <w:t>Der Kläger wendet gegen die vorinstanzlichen Erwägungen vorab ein, seines Wissens habe nicht die Beklagte, sondern D._____, welche von der Vor- mundschaftsbehörde beauftragt worden sei, die Beistandschaft geführt (Urk. 30 S. 1). Effektiv geführt wurde die Beistandschaft von D._____. Errichtet wurde sie (wohl) von der Vormundschaftsbehörde (heute Kindes- und Erwachsenenschutz- behörde) J._____. Erstere ist eine Angestellte der Beklagten und Letztere eine Verwaltungseinheit der Beklagten ohne eigene Rechtspersönlichkeit. Die Frage der effektiven Führung der Beistandschaft spielt somit nur insoweit eine Rolle, als es zu beurteilen gäbe, ob D._____ oder Personen der Kindes- und Erwachsenen- schutzbehörde J._____ die Beklagte vertreten durften und inwieweit deren Hand- lungen der Beklagten anzurechnen wären.</w:t>
      </w:r>
    </w:p>
    <w:p>
      <w:r>
        <w:rPr>
          <w:b/>
        </w:rPr>
        <w:t>E. 4</w:t>
      </w:r>
    </w:p>
    <w:p>
      <w:r>
        <w:t>Weiter rügt der Kläger, das Argument des Fehlens einer Rechtsbeziehung (zur Mutter von C._____) könnte geltend gemacht werden, wenn C._____ mündig wäre. Bei einem Kind sei die Rechtsbeziehung gegeben. Die Beiständin müsse die Kindsmutter in sämtliche Entscheidungen miteinbeziehen. Sie habe dies in der Vergangenheit auch immer getan (Urk. 30 S. 1). Damit macht der Kläger nicht geltend, er habe betreffend die Betreuung der Mut- ter mit der Beklagten eine eigenständige, auf dem Privatrecht basierende Verein- barung getroffen. Vielmehr leitet er eine Pflicht der Beklagten zur Zahlung der von ihm respektive H._____ erbrachten Leistungen aus der von der Beklagten für C._____ geführten Beistandschaft ab. Die Beurteilung solcher Streitigkeiten ob- liegt hingegen nicht den Zivilgerichten (vgl. Art. 1 lit. a. ZPO). Durch die Führung der Beistandschaft nimmt die Beklagte eine öffentliche Aufgabe wahr. Sie handelt hoheitlich. Die Parteien streiten nicht um einen zivilrechtlichen, sondern einen öf- fentlich-rechtlichen Anspruch. Die im Recht liegenden Kostengutsprachen deuten denn auch darauf hin, dass die Auftragserteilung jeweils mittels einer zustim-</w:t>
      </w:r>
    </w:p>
    <w:p>
      <w:r>
        <w:t>- 7 - mungsbedürftigen Verfügung erfolgte (vgl. Urk. 13/2 und 13/4: "Die Einzelfall- kommission beschliesst: […]").</w:t>
      </w:r>
    </w:p>
    <w:p>
      <w:r>
        <w:rPr>
          <w:b/>
        </w:rPr>
        <w:t>E. 5</w:t>
      </w:r>
    </w:p>
    <w:p>
      <w:r>
        <w:t>Das Vorliegen einer Zivilsache gehört im Bereich der streitigen Zivilge- richtsbarkeit zu den Prozessvoraussetzungen (vgl. dazu Art. 59 ZPO; Berger in: Berner Kommentar ZPO, Band I, Bern 2012, N 25 zu Art. 1). Ob die Prozessvo- raussetzungen erfüllt sind, ist von jeder Instanz von Amtes wegen zu überprüfen (Art. 60 ZPO). Zu beachten ist hingegen, dass falls ein Zivilgericht ein Sachurteil in öffentlich-rechtlicher Streitsache fällt, kein nichtiges Urteil vorliegt. Vielmehr muss sich die beschwerte Partei dagegen ebenfalls mit den verfügbaren Recht- mitteln wehren (Berger in: Berner Kommentar ZPO, N 27 zu Art. 1 ZPO). Der Klä- ger hat vorliegend keine entsprechende Rüge erhoben. Somit ist nur auf die Be- schwerde (mangels Vorliegen einer Zivilstreitigkeit) nicht einzutreten (Zingg in: Berner Kommentar ZPO, N 52 zu Art. 60; Art. 236 Abs. 1 ZPO) und nicht auf die vom Kläger angehobene Klage an sich.</w:t>
      </w:r>
    </w:p>
    <w:p>
      <w:r>
        <w:rPr>
          <w:b/>
        </w:rPr>
        <w:t>E. 6</w:t>
      </w:r>
    </w:p>
    <w:p>
      <w:r>
        <w:t>Bei diesem Ergebnis muss auf die vom Kläger mit Bezug auf die Alterna- tivbegründung erhobenen Rügen nicht weiter eingegangen werden (Urk. 31 S. 8 Ziff. 3). III. 1. Ausgangsgemäss wird der Kläger für das zweitinstanzliche Verfahren kosten- und entschädigungspflichtig. Der Streitwert beträgt Fr. 4'760.–. 2. Die Entscheidgebühr ist in Anwendung der §§ 4 Abs. 1 und 12 Abs. 1 und 2 i. V. mit § 10 Abs. 1 der Gebührenverordnung des Obergerichtes vom 8. September 2010 auf Fr. 660.– festzusetzen. 3. Sodann hat der Kläger der Beklagten eine Parteientschädigung zu bezah- len. Die Beklagte wird durch eine hauseigene Anwältin vertreten, weshalb ihr eine Entschädigung im Sinne von Art. 95 Abs. 3 lit. c) ZPO zuzusprechen ist (Sterchi in: Berner Kommentar ZPO, N 18 zu Art. 95). Eine Entschädigung von Fr. 500.– erscheint angemessen.</w:t>
      </w:r>
    </w:p>
    <w:p>
      <w:r>
        <w:t>- 8 - Es wird beschlossen: 1. Auf die Beschwerde wird nicht eingetreten. 2. Die zweitinstanzliche Entscheidgebühr wird auf Fr. 660.– festgesetzt. 3. Die Kosten für das zweitinstanzliche Verfahren werden dem Kläger auferlegt und mit seinem Kostenvorschuss verrechnet. Der Mehrbetrag wird zurücker- stattet. 4. Der Kläger wird verpflichtet, der Beklagten für das Beschwerdeverfahren ei- ne Parteientschädigung von Fr. 500.– zu bezahlen. 5. Schriftliche Mitteilung an die Parteien sowie an das Bezirksgericht Zürich,</w:t>
      </w:r>
    </w:p>
    <w:p>
      <w:r>
        <w:rPr>
          <w:b/>
        </w:rPr>
        <w:t>E. 10</w:t>
      </w:r>
    </w:p>
    <w:p>
      <w:r>
        <w:t>Abteilung,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4'760.–. Hinsichtlich des Fristenlaufs gelten die Art. 44 ff. BGG. Zürich, 21. Juni 2013 Obergericht des Kantons Zürich I. Zivilkammer Die Gerichtsschreiberin: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