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PP110028 vom 3. Februar 2012</w:t>
      </w:r>
    </w:p>
    <w:p>
      <w:r>
        <w:t>ZH Obergericht, 2012-02-03, DE</w:t>
      </w:r>
    </w:p>
    <w:p>
      <w:r>
        <w:rPr>
          <w:b/>
        </w:rPr>
        <w:t xml:space="preserve">Quelle: </w:t>
      </w:r>
      <w:r>
        <w:t>https://mcp.opencaselaw.ch/entscheid/zh_obergericht_PP110028</w:t>
      </w:r>
    </w:p>
    <w:p>
      <w:r>
        <w:t>FR: ZH_OBERGERICHT PP110028 du 3 février 2012</w:t>
      </w:r>
    </w:p>
    <w:p>
      <w:r>
        <w:t>IT: ZH_OBERGERICHT PP110028 del 3 febbraio 2012</w:t>
      </w:r>
    </w:p>
    <w:p>
      <w:pPr>
        <w:pStyle w:val="Heading2"/>
      </w:pPr>
      <w:r>
        <w:t>Erwägungen</w:t>
      </w:r>
    </w:p>
    <w:p>
      <w:r>
        <w:rPr>
          <w:b/>
        </w:rPr>
        <w:t>E. 1</w:t>
      </w:r>
    </w:p>
    <w:p>
      <w:r>
        <w:t>Mit Verfügung vom 5. Dezember 2011 (act. 9) setzte die Vorinstanz der Klägerin, die eine Klage auf Bestreitung neuen Vermögens anhängig gemacht hatte, eine Frist von 20 Tagen an, um einen Kostenvorschuss von Fr. 300.-- zu leisten (act. 9 S. 2 Dispositiv-Ziff. 1). In dieser Verfügung wurde die Klägerin pflichtgemäss (Art. 97 ZPO) auf Art. 117 ZPO hingewiesen (act. 9 S. 2), wonach eine bedürftige Person Anspruch auf unentgeltliche Prozessführung hat, wenn ihr Rechtsbegehren nicht aussichtslos ist. Die vorinstanzliche Verfügung ist mit einer Rechtsmittelbelehrung (Be- schwerde bei der Kammer; act. 9 S. 2 f. Dispositiv-Ziff. 3) versehen.</w:t>
      </w:r>
    </w:p>
    <w:p>
      <w:r>
        <w:rPr>
          <w:b/>
        </w:rPr>
        <w:t>E. 2</w:t>
      </w:r>
    </w:p>
    <w:p>
      <w:r>
        <w:t>Innert Frist reichte die Klägerin Beschwerde bei der Kammer ein und be- antragte, die vorinstanzliche Verfügung aufzuheben, den Anspruch auf unentgelt- liche Rechtspflege festzustellen, sie von der Bevorschussung für die mutmassli- chen Prozesskosten von Fr. 300.-- zu befreien. Weiter ersuchte sie darum, die Kosten des Beschwerdeverfahrens dem Bezirksgericht Hinwil aufzuerlegen (act. 1 Ziff. 1-4).</w:t>
      </w:r>
    </w:p>
    <w:p>
      <w:r>
        <w:rPr>
          <w:b/>
        </w:rPr>
        <w:t>E. 3</w:t>
      </w:r>
    </w:p>
    <w:p>
      <w:r>
        <w:t>Die Vorinstanz hat bereits mit der ersten Fristansetzung zur Leistung des Kostenvorschusses auf das Rechtsmittel der Beschwerde hingewiesen. Nach der Praxis der Kammer ist bei der erstmaligen Auferlegung des Kostenvorschusses noch kein Rechtsmittel anzugeben. Dies beruht auf Art. 101 Abs. 3 ZPO, wonach – wenn der Vorschuss „auch nicht innert einer Nachfrist geleistet“ wird – ein Nichteintretensentscheid zu fällen ist. Richtigerweise wird nach unbenütztem Ab- lauf der ersten Zahlungsfrist eine kurze Nachfrist angesetzt und für den Fall der Nichtleistung auf das Nichteintreten hingewiesen. Da erst diese zweite Säumnis Nachteile verursacht, ist mit dem Rechtsmittel bzw. der entsprechenden Beleh- rung bis zu diesem Zeitpunkt zuzuwarten.</w:t>
      </w:r>
    </w:p>
    <w:p>
      <w:r>
        <w:rPr>
          <w:b/>
        </w:rPr>
        <w:t>E. 4</w:t>
      </w:r>
    </w:p>
    <w:p>
      <w:r>
        <w:t>Die Klägerin beanstandet den Kostenvorschuss als solchen nicht. Sie er- klärt nur, für diesen nicht aufkommen zu können (act. 8 S. 4) und hat ganz offen- sichtlich den an sich zutreffenden Hinweis auf die Möglichkeit der unentgeltlichen</w:t>
      </w:r>
    </w:p>
    <w:p>
      <w:r>
        <w:t>- 3 - Prozessführung so verstanden, dass diese – im Rahmen des Beschwerdeverfah- rens – bei der Kammer zu beantragen sei. Als Rechtsmittelinstanz kann die Kammer aber immer nur über Begehren entscheiden, die bereits bei der Vo- rinstanz gestellt wurden. Mangels eines anfechtbaren vorinstanzlichen Entschei- des betreffend Gewährung der unentgeltlichen Prozessführung fehlt es an einem Anfechtungsobjekt, so dass auf die Beschwerde der Klägerin nicht eingetreten werden kann. Die Akten gehen deshalb zurück an die Vorinstanz, welche zu- nächst das Gesuch der Klägerin um unentgeltliche Rechtspflege zu beurteilen haben wird.</w:t>
      </w:r>
    </w:p>
    <w:p>
      <w:r>
        <w:rPr>
          <w:b/>
        </w:rPr>
        <w:t>E. 5</w:t>
      </w:r>
    </w:p>
    <w:p>
      <w:r>
        <w:t>Die Klägerin ersucht darum, die Kosten des Beschwerdeverfahrens der Vorinstanz aufzuerlegen. Das ist nicht möglich, hingegen sind die Kosten des Be- schwerdeverfahrens auf die Gerichtskasse zu nehmen. Eine Entschädigung zu Lasten der Gerichtskasse kann mangels einer einschlägigen gesetzlichen Grund- lage nicht zugesprochen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